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14:anchorId="23876A0F" wp14:editId="1CFC820A">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r w:rsidR="00667809">
        <w:t xml:space="preserve"> </w:t>
      </w:r>
      <w:r w:rsidR="00667809" w:rsidRPr="006A24D0">
        <w:rPr>
          <w:noProof/>
          <w:sz w:val="36"/>
          <w:lang w:eastAsia="en-AU"/>
        </w:rPr>
        <w:drawing>
          <wp:inline distT="0" distB="0" distL="0" distR="0" wp14:anchorId="1E79358E" wp14:editId="07EB1897">
            <wp:extent cx="1951355" cy="932815"/>
            <wp:effectExtent l="0" t="0" r="0" b="0"/>
            <wp:docPr id="8" name="Picture 8" descr="Climate Active,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_Active_Gov_ Master_Logo_pos_RGB.png"/>
                    <pic:cNvPicPr/>
                  </pic:nvPicPr>
                  <pic:blipFill rotWithShape="1">
                    <a:blip r:embed="rId10" cstate="print">
                      <a:extLst>
                        <a:ext uri="{28A0092B-C50C-407E-A947-70E740481C1C}">
                          <a14:useLocalDpi xmlns:a14="http://schemas.microsoft.com/office/drawing/2010/main" val="0"/>
                        </a:ext>
                      </a:extLst>
                    </a:blip>
                    <a:srcRect l="3521"/>
                    <a:stretch/>
                  </pic:blipFill>
                  <pic:spPr bwMode="auto">
                    <a:xfrm>
                      <a:off x="0" y="0"/>
                      <a:ext cx="1951355" cy="932815"/>
                    </a:xfrm>
                    <a:prstGeom prst="rect">
                      <a:avLst/>
                    </a:prstGeom>
                    <a:ln>
                      <a:noFill/>
                    </a:ln>
                    <a:extLst>
                      <a:ext uri="{53640926-AAD7-44D8-BBD7-CCE9431645EC}">
                        <a14:shadowObscured xmlns:a14="http://schemas.microsoft.com/office/drawing/2010/main"/>
                      </a:ext>
                    </a:extLst>
                  </pic:spPr>
                </pic:pic>
              </a:graphicData>
            </a:graphic>
          </wp:inline>
        </w:drawing>
      </w:r>
    </w:p>
    <w:p w:rsidR="000F3535" w:rsidRDefault="00667809" w:rsidP="00C0000D">
      <w:pPr>
        <w:pStyle w:val="DocumentTitle"/>
        <w:spacing w:before="720" w:after="360"/>
      </w:pPr>
      <w:r>
        <w:t>Australian Government Climate Active Public Disclosure Statemen</w:t>
      </w:r>
      <w:r w:rsidR="00D5586A">
        <w:t>t</w:t>
      </w:r>
    </w:p>
    <w:p w:rsidR="00667809" w:rsidRPr="00A0432B" w:rsidRDefault="00667809" w:rsidP="00D5586A">
      <w:pPr>
        <w:pStyle w:val="Subtitle2"/>
      </w:pPr>
      <w:r w:rsidRPr="00A0432B">
        <w:t>NAME OF CERTIFIED ENTITY:</w:t>
      </w:r>
      <w:r w:rsidRPr="00A0432B">
        <w:tab/>
      </w:r>
      <w:r>
        <w:t>City of Melbourne</w:t>
      </w:r>
    </w:p>
    <w:p w:rsidR="00667809" w:rsidRPr="00F128C4" w:rsidRDefault="00667809" w:rsidP="00D5586A">
      <w:pPr>
        <w:pStyle w:val="Subtitle2"/>
      </w:pPr>
      <w:r w:rsidRPr="00F128C4">
        <w:t>EVENT NAME:</w:t>
      </w:r>
      <w:r w:rsidRPr="00F128C4">
        <w:tab/>
      </w:r>
      <w:r>
        <w:t xml:space="preserve">Melbourne Fashion Week </w:t>
      </w:r>
    </w:p>
    <w:p w:rsidR="00667809" w:rsidRPr="00F128C4" w:rsidRDefault="00667809" w:rsidP="00D5586A">
      <w:pPr>
        <w:pStyle w:val="Subtitle2"/>
      </w:pPr>
      <w:r w:rsidRPr="00F128C4">
        <w:t>EVENT DATE/S:</w:t>
      </w:r>
      <w:r w:rsidRPr="00F128C4">
        <w:tab/>
      </w:r>
      <w:r w:rsidRPr="00DE4513">
        <w:t>Certification Period July 2019 – July 2020</w:t>
      </w:r>
    </w:p>
    <w:p w:rsidR="00667809" w:rsidRPr="00F128C4" w:rsidRDefault="00667809" w:rsidP="00D5586A">
      <w:pPr>
        <w:pStyle w:val="Subtitle2"/>
      </w:pPr>
      <w:r w:rsidRPr="00F128C4">
        <w:t>EVENT TYPE:</w:t>
      </w:r>
      <w:r>
        <w:tab/>
        <w:t>Large Event Portfolio</w:t>
      </w:r>
    </w:p>
    <w:p w:rsidR="00667809" w:rsidRPr="00A0432B" w:rsidRDefault="00667809" w:rsidP="00D5586A">
      <w:pPr>
        <w:pStyle w:val="Bold"/>
      </w:pPr>
      <w:r w:rsidRPr="00A0432B">
        <w:t>Declaration</w:t>
      </w:r>
    </w:p>
    <w:p w:rsidR="00667809" w:rsidRPr="00A0432B" w:rsidRDefault="00667809" w:rsidP="00667809">
      <w:r w:rsidRPr="00A0432B">
        <w:t xml:space="preserve">To the best of my knowledge, the information provided in this </w:t>
      </w:r>
      <w:r>
        <w:t>Public Disclosure Statement</w:t>
      </w:r>
      <w:r w:rsidRPr="00A0432B">
        <w:t xml:space="preserve"> is true and correct and meets the requirements of the </w:t>
      </w:r>
      <w:r>
        <w:t>Climate Active Carbon Neutral Standard</w:t>
      </w:r>
      <w:r w:rsidRPr="00A043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982"/>
      </w:tblGrid>
      <w:tr w:rsidR="00667809" w:rsidTr="00667809">
        <w:trPr>
          <w:trHeight w:val="680"/>
        </w:trPr>
        <w:tc>
          <w:tcPr>
            <w:tcW w:w="4646" w:type="dxa"/>
            <w:tcBorders>
              <w:top w:val="single" w:sz="4" w:space="0" w:color="auto"/>
              <w:left w:val="single" w:sz="4" w:space="0" w:color="auto"/>
              <w:bottom w:val="single" w:sz="4" w:space="0" w:color="auto"/>
              <w:right w:val="single" w:sz="4" w:space="0" w:color="auto"/>
            </w:tcBorders>
            <w:hideMark/>
          </w:tcPr>
          <w:p w:rsidR="00667809" w:rsidRDefault="00667809" w:rsidP="00667809">
            <w:pPr>
              <w:spacing w:line="256" w:lineRule="auto"/>
            </w:pPr>
            <w:r>
              <w:t>Signature</w:t>
            </w:r>
          </w:p>
        </w:tc>
        <w:tc>
          <w:tcPr>
            <w:tcW w:w="4982" w:type="dxa"/>
            <w:tcBorders>
              <w:top w:val="single" w:sz="4" w:space="0" w:color="auto"/>
              <w:left w:val="single" w:sz="4" w:space="0" w:color="auto"/>
              <w:bottom w:val="single" w:sz="4" w:space="0" w:color="auto"/>
              <w:right w:val="single" w:sz="4" w:space="0" w:color="auto"/>
            </w:tcBorders>
            <w:hideMark/>
          </w:tcPr>
          <w:p w:rsidR="00667809" w:rsidRDefault="00667809" w:rsidP="00667809">
            <w:pPr>
              <w:spacing w:line="256" w:lineRule="auto"/>
            </w:pPr>
            <w:r>
              <w:t>Date   24/06/2020</w:t>
            </w:r>
          </w:p>
        </w:tc>
      </w:tr>
      <w:tr w:rsidR="00667809" w:rsidRPr="00A0432B" w:rsidTr="00667809">
        <w:trPr>
          <w:trHeight w:val="680"/>
        </w:trPr>
        <w:tc>
          <w:tcPr>
            <w:tcW w:w="9628" w:type="dxa"/>
            <w:gridSpan w:val="2"/>
          </w:tcPr>
          <w:p w:rsidR="00667809" w:rsidRPr="00A0432B" w:rsidRDefault="00667809" w:rsidP="00667809">
            <w:r>
              <w:t>Louise Scott</w:t>
            </w:r>
          </w:p>
        </w:tc>
      </w:tr>
      <w:tr w:rsidR="00667809" w:rsidRPr="00A0432B" w:rsidTr="00667809">
        <w:trPr>
          <w:trHeight w:val="680"/>
        </w:trPr>
        <w:tc>
          <w:tcPr>
            <w:tcW w:w="9628" w:type="dxa"/>
            <w:gridSpan w:val="2"/>
          </w:tcPr>
          <w:p w:rsidR="00667809" w:rsidRPr="00A0432B" w:rsidRDefault="00667809" w:rsidP="00667809">
            <w:r>
              <w:t xml:space="preserve">Director – Tourism and Events, City of Melbourne  </w:t>
            </w:r>
          </w:p>
        </w:tc>
      </w:tr>
    </w:tbl>
    <w:p w:rsidR="00667809" w:rsidRPr="00A0432B" w:rsidRDefault="00667809" w:rsidP="00667809">
      <w:r>
        <w:rPr>
          <w:noProof/>
          <w:lang w:eastAsia="en-AU"/>
        </w:rPr>
        <w:drawing>
          <wp:inline distT="0" distB="0" distL="0" distR="0" wp14:anchorId="04430695" wp14:editId="23B4012F">
            <wp:extent cx="2682245" cy="694945"/>
            <wp:effectExtent l="0" t="0" r="3810" b="0"/>
            <wp:docPr id="7" name="Picture 7" descr="Australian Government Department of Industry, Science, Energy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245" cy="694945"/>
                    </a:xfrm>
                    <a:prstGeom prst="rect">
                      <a:avLst/>
                    </a:prstGeom>
                  </pic:spPr>
                </pic:pic>
              </a:graphicData>
            </a:graphic>
          </wp:inline>
        </w:drawing>
      </w:r>
    </w:p>
    <w:p w:rsidR="00D5586A" w:rsidRDefault="00667809" w:rsidP="00C0000D">
      <w:r>
        <w:rPr>
          <w:sz w:val="16"/>
        </w:rPr>
        <w:t>Public Disclosure Statement</w:t>
      </w:r>
      <w:r w:rsidRPr="00A0432B">
        <w:rPr>
          <w:sz w:val="16"/>
        </w:rPr>
        <w:t xml:space="preserve"> documents are prepared by the submitting organisation. The material in </w:t>
      </w:r>
      <w:r>
        <w:rPr>
          <w:sz w:val="16"/>
        </w:rPr>
        <w:t>Public Disclosure Statement</w:t>
      </w:r>
      <w:r w:rsidRPr="00A0432B">
        <w:rPr>
          <w:sz w:val="16"/>
        </w:rPr>
        <w:t xml:space="preserve"> documents represents the views of the organisation and do not necessarily reflect the views of the Commonwealth. The Commonwealth does not guarantee the accuracy of the contents of the </w:t>
      </w:r>
      <w:r>
        <w:rPr>
          <w:sz w:val="16"/>
        </w:rPr>
        <w:t>Public Disclosure Statement</w:t>
      </w:r>
      <w:r w:rsidRPr="00A0432B">
        <w:rPr>
          <w:sz w:val="16"/>
        </w:rPr>
        <w:t xml:space="preserve"> documents and disclaims liability for any loss arising from the use of the document for any purpose.</w:t>
      </w:r>
      <w:r w:rsidR="00D5586A">
        <w:br w:type="page"/>
      </w:r>
    </w:p>
    <w:bookmarkStart w:id="0" w:name="_Toc47885167" w:displacedByCustomXml="next"/>
    <w:sdt>
      <w:sdtPr>
        <w:rPr>
          <w:rFonts w:asciiTheme="minorHAnsi" w:eastAsiaTheme="minorHAnsi" w:hAnsiTheme="minorHAnsi" w:cstheme="minorBidi"/>
          <w:b/>
          <w:bCs w:val="0"/>
          <w:sz w:val="22"/>
          <w:szCs w:val="22"/>
          <w:lang w:val="en-AU"/>
        </w:rPr>
        <w:id w:val="-1597159720"/>
        <w:docPartObj>
          <w:docPartGallery w:val="Table of Contents"/>
          <w:docPartUnique/>
        </w:docPartObj>
      </w:sdtPr>
      <w:sdtEndPr>
        <w:rPr>
          <w:rFonts w:ascii="Arial" w:eastAsia="MS Mincho" w:hAnsi="Arial" w:cs="Times New Roman"/>
          <w:b w:val="0"/>
          <w:noProof/>
          <w:sz w:val="20"/>
          <w:szCs w:val="24"/>
        </w:rPr>
      </w:sdtEndPr>
      <w:sdtContent>
        <w:p w:rsidR="00667809" w:rsidRDefault="00667809" w:rsidP="00E96298">
          <w:pPr>
            <w:pStyle w:val="Heading1"/>
          </w:pPr>
          <w:r w:rsidRPr="00E96298">
            <w:t>Contents</w:t>
          </w:r>
          <w:bookmarkEnd w:id="0"/>
        </w:p>
        <w:p w:rsidR="00C0000D" w:rsidRDefault="00667809" w:rsidP="002B068D">
          <w:pPr>
            <w:pStyle w:val="TOC1"/>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885168" w:history="1">
            <w:r w:rsidR="00C0000D" w:rsidRPr="00EC5CDD">
              <w:rPr>
                <w:rStyle w:val="Hyperlink"/>
                <w:noProof/>
                <w:spacing w:val="-1"/>
              </w:rPr>
              <w:t>Carbon</w:t>
            </w:r>
            <w:r w:rsidR="00C0000D" w:rsidRPr="00EC5CDD">
              <w:rPr>
                <w:rStyle w:val="Hyperlink"/>
                <w:noProof/>
                <w:spacing w:val="-11"/>
              </w:rPr>
              <w:t xml:space="preserve"> </w:t>
            </w:r>
            <w:r w:rsidR="00C0000D" w:rsidRPr="00EC5CDD">
              <w:rPr>
                <w:rStyle w:val="Hyperlink"/>
                <w:noProof/>
                <w:spacing w:val="-1"/>
              </w:rPr>
              <w:t>neutral</w:t>
            </w:r>
            <w:r w:rsidR="00C0000D" w:rsidRPr="00EC5CDD">
              <w:rPr>
                <w:rStyle w:val="Hyperlink"/>
                <w:noProof/>
                <w:spacing w:val="-11"/>
              </w:rPr>
              <w:t xml:space="preserve"> </w:t>
            </w:r>
            <w:r w:rsidR="00C0000D" w:rsidRPr="00EC5CDD">
              <w:rPr>
                <w:rStyle w:val="Hyperlink"/>
                <w:noProof/>
                <w:spacing w:val="-1"/>
              </w:rPr>
              <w:t>information</w:t>
            </w:r>
            <w:r w:rsidR="00C0000D">
              <w:rPr>
                <w:noProof/>
                <w:webHidden/>
              </w:rPr>
              <w:tab/>
            </w:r>
            <w:r w:rsidR="00C0000D">
              <w:rPr>
                <w:noProof/>
                <w:webHidden/>
              </w:rPr>
              <w:fldChar w:fldCharType="begin"/>
            </w:r>
            <w:r w:rsidR="00C0000D">
              <w:rPr>
                <w:noProof/>
                <w:webHidden/>
              </w:rPr>
              <w:instrText xml:space="preserve"> PAGEREF _Toc47885168 \h </w:instrText>
            </w:r>
            <w:r w:rsidR="00C0000D">
              <w:rPr>
                <w:noProof/>
                <w:webHidden/>
              </w:rPr>
            </w:r>
            <w:r w:rsidR="00C0000D">
              <w:rPr>
                <w:noProof/>
                <w:webHidden/>
              </w:rPr>
              <w:fldChar w:fldCharType="separate"/>
            </w:r>
            <w:r w:rsidR="003C08F7">
              <w:rPr>
                <w:noProof/>
                <w:webHidden/>
              </w:rPr>
              <w:t>4</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69" w:history="1">
            <w:r w:rsidR="00C0000D" w:rsidRPr="00EC5CDD">
              <w:rPr>
                <w:rStyle w:val="Hyperlink"/>
                <w:noProof/>
                <w:spacing w:val="-1"/>
              </w:rPr>
              <w:t>Description of certification</w:t>
            </w:r>
            <w:r w:rsidR="00C0000D">
              <w:rPr>
                <w:noProof/>
                <w:webHidden/>
              </w:rPr>
              <w:tab/>
            </w:r>
            <w:r w:rsidR="00C0000D">
              <w:rPr>
                <w:noProof/>
                <w:webHidden/>
              </w:rPr>
              <w:fldChar w:fldCharType="begin"/>
            </w:r>
            <w:r w:rsidR="00C0000D">
              <w:rPr>
                <w:noProof/>
                <w:webHidden/>
              </w:rPr>
              <w:instrText xml:space="preserve"> PAGEREF _Toc47885169 \h </w:instrText>
            </w:r>
            <w:r w:rsidR="00C0000D">
              <w:rPr>
                <w:noProof/>
                <w:webHidden/>
              </w:rPr>
            </w:r>
            <w:r w:rsidR="00C0000D">
              <w:rPr>
                <w:noProof/>
                <w:webHidden/>
              </w:rPr>
              <w:fldChar w:fldCharType="separate"/>
            </w:r>
            <w:r w:rsidR="003C08F7">
              <w:rPr>
                <w:noProof/>
                <w:webHidden/>
              </w:rPr>
              <w:t>4</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70" w:history="1">
            <w:r w:rsidR="00C0000D" w:rsidRPr="00EC5CDD">
              <w:rPr>
                <w:rStyle w:val="Hyperlink"/>
                <w:noProof/>
                <w:spacing w:val="-1"/>
              </w:rPr>
              <w:t>Changes since pre-event report</w:t>
            </w:r>
            <w:r w:rsidR="00C0000D">
              <w:rPr>
                <w:noProof/>
                <w:webHidden/>
              </w:rPr>
              <w:tab/>
            </w:r>
            <w:r w:rsidR="00C0000D">
              <w:rPr>
                <w:noProof/>
                <w:webHidden/>
              </w:rPr>
              <w:fldChar w:fldCharType="begin"/>
            </w:r>
            <w:r w:rsidR="00C0000D">
              <w:rPr>
                <w:noProof/>
                <w:webHidden/>
              </w:rPr>
              <w:instrText xml:space="preserve"> PAGEREF _Toc47885170 \h </w:instrText>
            </w:r>
            <w:r w:rsidR="00C0000D">
              <w:rPr>
                <w:noProof/>
                <w:webHidden/>
              </w:rPr>
            </w:r>
            <w:r w:rsidR="00C0000D">
              <w:rPr>
                <w:noProof/>
                <w:webHidden/>
              </w:rPr>
              <w:fldChar w:fldCharType="separate"/>
            </w:r>
            <w:r w:rsidR="003C08F7">
              <w:rPr>
                <w:noProof/>
                <w:webHidden/>
              </w:rPr>
              <w:t>4</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71" w:history="1">
            <w:r w:rsidR="00C0000D" w:rsidRPr="00EC5CDD">
              <w:rPr>
                <w:rStyle w:val="Hyperlink"/>
                <w:noProof/>
              </w:rPr>
              <w:t>Table 1 Changes in reporting since the pre-event report</w:t>
            </w:r>
            <w:r w:rsidR="00C0000D">
              <w:rPr>
                <w:noProof/>
                <w:webHidden/>
              </w:rPr>
              <w:tab/>
            </w:r>
            <w:r w:rsidR="00C0000D">
              <w:rPr>
                <w:noProof/>
                <w:webHidden/>
              </w:rPr>
              <w:fldChar w:fldCharType="begin"/>
            </w:r>
            <w:r w:rsidR="00C0000D">
              <w:rPr>
                <w:noProof/>
                <w:webHidden/>
              </w:rPr>
              <w:instrText xml:space="preserve"> PAGEREF _Toc47885171 \h </w:instrText>
            </w:r>
            <w:r w:rsidR="00C0000D">
              <w:rPr>
                <w:noProof/>
                <w:webHidden/>
              </w:rPr>
            </w:r>
            <w:r w:rsidR="00C0000D">
              <w:rPr>
                <w:noProof/>
                <w:webHidden/>
              </w:rPr>
              <w:fldChar w:fldCharType="separate"/>
            </w:r>
            <w:r w:rsidR="003C08F7">
              <w:rPr>
                <w:noProof/>
                <w:webHidden/>
              </w:rPr>
              <w:t>4</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72" w:history="1">
            <w:r w:rsidR="00C0000D" w:rsidRPr="00EC5CDD">
              <w:rPr>
                <w:rStyle w:val="Hyperlink"/>
                <w:noProof/>
                <w:spacing w:val="-1"/>
              </w:rPr>
              <w:t>Emissions reduction strategy</w:t>
            </w:r>
            <w:r w:rsidR="00C0000D">
              <w:rPr>
                <w:noProof/>
                <w:webHidden/>
              </w:rPr>
              <w:tab/>
            </w:r>
            <w:r w:rsidR="00C0000D">
              <w:rPr>
                <w:noProof/>
                <w:webHidden/>
              </w:rPr>
              <w:fldChar w:fldCharType="begin"/>
            </w:r>
            <w:r w:rsidR="00C0000D">
              <w:rPr>
                <w:noProof/>
                <w:webHidden/>
              </w:rPr>
              <w:instrText xml:space="preserve"> PAGEREF _Toc47885172 \h </w:instrText>
            </w:r>
            <w:r w:rsidR="00C0000D">
              <w:rPr>
                <w:noProof/>
                <w:webHidden/>
              </w:rPr>
            </w:r>
            <w:r w:rsidR="00C0000D">
              <w:rPr>
                <w:noProof/>
                <w:webHidden/>
              </w:rPr>
              <w:fldChar w:fldCharType="separate"/>
            </w:r>
            <w:r w:rsidR="003C08F7">
              <w:rPr>
                <w:noProof/>
                <w:webHidden/>
              </w:rPr>
              <w:t>5</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73" w:history="1">
            <w:r w:rsidR="00C0000D" w:rsidRPr="00EC5CDD">
              <w:rPr>
                <w:rStyle w:val="Hyperlink"/>
                <w:noProof/>
              </w:rPr>
              <w:t>Table 2 Emissions reduction measures implemented in the current certification period</w:t>
            </w:r>
            <w:r w:rsidR="00C0000D">
              <w:rPr>
                <w:noProof/>
                <w:webHidden/>
              </w:rPr>
              <w:tab/>
            </w:r>
            <w:r w:rsidR="00C0000D">
              <w:rPr>
                <w:noProof/>
                <w:webHidden/>
              </w:rPr>
              <w:fldChar w:fldCharType="begin"/>
            </w:r>
            <w:r w:rsidR="00C0000D">
              <w:rPr>
                <w:noProof/>
                <w:webHidden/>
              </w:rPr>
              <w:instrText xml:space="preserve"> PAGEREF _Toc47885173 \h </w:instrText>
            </w:r>
            <w:r w:rsidR="00C0000D">
              <w:rPr>
                <w:noProof/>
                <w:webHidden/>
              </w:rPr>
            </w:r>
            <w:r w:rsidR="00C0000D">
              <w:rPr>
                <w:noProof/>
                <w:webHidden/>
              </w:rPr>
              <w:fldChar w:fldCharType="separate"/>
            </w:r>
            <w:r w:rsidR="003C08F7">
              <w:rPr>
                <w:noProof/>
                <w:webHidden/>
              </w:rPr>
              <w:t>6</w:t>
            </w:r>
            <w:r w:rsidR="00C0000D">
              <w:rPr>
                <w:noProof/>
                <w:webHidden/>
              </w:rPr>
              <w:fldChar w:fldCharType="end"/>
            </w:r>
          </w:hyperlink>
        </w:p>
        <w:p w:rsidR="00C0000D" w:rsidRDefault="00BE4B6C">
          <w:pPr>
            <w:pStyle w:val="TOC1"/>
            <w:tabs>
              <w:tab w:val="right" w:leader="dot" w:pos="9628"/>
            </w:tabs>
            <w:rPr>
              <w:rFonts w:asciiTheme="minorHAnsi" w:eastAsiaTheme="minorEastAsia" w:hAnsiTheme="minorHAnsi" w:cstheme="minorBidi"/>
              <w:noProof/>
              <w:sz w:val="22"/>
              <w:szCs w:val="22"/>
              <w:lang w:eastAsia="en-AU"/>
            </w:rPr>
          </w:pPr>
          <w:hyperlink w:anchor="_Toc47885174" w:history="1">
            <w:r w:rsidR="00C0000D" w:rsidRPr="00EC5CDD">
              <w:rPr>
                <w:rStyle w:val="Hyperlink"/>
                <w:noProof/>
                <w:spacing w:val="-1"/>
              </w:rPr>
              <w:t>Emission Boundary</w:t>
            </w:r>
            <w:r w:rsidR="00C0000D">
              <w:rPr>
                <w:noProof/>
                <w:webHidden/>
              </w:rPr>
              <w:tab/>
            </w:r>
            <w:r w:rsidR="00C0000D">
              <w:rPr>
                <w:noProof/>
                <w:webHidden/>
              </w:rPr>
              <w:fldChar w:fldCharType="begin"/>
            </w:r>
            <w:r w:rsidR="00C0000D">
              <w:rPr>
                <w:noProof/>
                <w:webHidden/>
              </w:rPr>
              <w:instrText xml:space="preserve"> PAGEREF _Toc47885174 \h </w:instrText>
            </w:r>
            <w:r w:rsidR="00C0000D">
              <w:rPr>
                <w:noProof/>
                <w:webHidden/>
              </w:rPr>
            </w:r>
            <w:r w:rsidR="00C0000D">
              <w:rPr>
                <w:noProof/>
                <w:webHidden/>
              </w:rPr>
              <w:fldChar w:fldCharType="separate"/>
            </w:r>
            <w:r w:rsidR="003C08F7">
              <w:rPr>
                <w:noProof/>
                <w:webHidden/>
              </w:rPr>
              <w:t>7</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75" w:history="1">
            <w:r w:rsidR="00C0000D" w:rsidRPr="00EC5CDD">
              <w:rPr>
                <w:rStyle w:val="Hyperlink"/>
                <w:noProof/>
                <w:spacing w:val="-1"/>
              </w:rPr>
              <w:t>Diagram of the certification boundary</w:t>
            </w:r>
            <w:r w:rsidR="00C0000D">
              <w:rPr>
                <w:noProof/>
                <w:webHidden/>
              </w:rPr>
              <w:tab/>
            </w:r>
            <w:r w:rsidR="00C0000D">
              <w:rPr>
                <w:noProof/>
                <w:webHidden/>
              </w:rPr>
              <w:fldChar w:fldCharType="begin"/>
            </w:r>
            <w:r w:rsidR="00C0000D">
              <w:rPr>
                <w:noProof/>
                <w:webHidden/>
              </w:rPr>
              <w:instrText xml:space="preserve"> PAGEREF _Toc47885175 \h </w:instrText>
            </w:r>
            <w:r w:rsidR="00C0000D">
              <w:rPr>
                <w:noProof/>
                <w:webHidden/>
              </w:rPr>
            </w:r>
            <w:r w:rsidR="00C0000D">
              <w:rPr>
                <w:noProof/>
                <w:webHidden/>
              </w:rPr>
              <w:fldChar w:fldCharType="separate"/>
            </w:r>
            <w:r w:rsidR="003C08F7">
              <w:rPr>
                <w:noProof/>
                <w:webHidden/>
              </w:rPr>
              <w:t>7</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76" w:history="1">
            <w:r w:rsidR="00C0000D" w:rsidRPr="00EC5CDD">
              <w:rPr>
                <w:rStyle w:val="Hyperlink"/>
                <w:noProof/>
                <w:spacing w:val="-1"/>
              </w:rPr>
              <w:t>Excluded sources (outside of certification boundary)</w:t>
            </w:r>
            <w:r w:rsidR="00C0000D">
              <w:rPr>
                <w:noProof/>
                <w:webHidden/>
              </w:rPr>
              <w:tab/>
            </w:r>
            <w:r w:rsidR="00C0000D">
              <w:rPr>
                <w:noProof/>
                <w:webHidden/>
              </w:rPr>
              <w:fldChar w:fldCharType="begin"/>
            </w:r>
            <w:r w:rsidR="00C0000D">
              <w:rPr>
                <w:noProof/>
                <w:webHidden/>
              </w:rPr>
              <w:instrText xml:space="preserve"> PAGEREF _Toc47885176 \h </w:instrText>
            </w:r>
            <w:r w:rsidR="00C0000D">
              <w:rPr>
                <w:noProof/>
                <w:webHidden/>
              </w:rPr>
            </w:r>
            <w:r w:rsidR="00C0000D">
              <w:rPr>
                <w:noProof/>
                <w:webHidden/>
              </w:rPr>
              <w:fldChar w:fldCharType="separate"/>
            </w:r>
            <w:r w:rsidR="003C08F7">
              <w:rPr>
                <w:noProof/>
                <w:webHidden/>
              </w:rPr>
              <w:t>8</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77" w:history="1">
            <w:r w:rsidR="00C0000D" w:rsidRPr="00EC5CDD">
              <w:rPr>
                <w:rStyle w:val="Hyperlink"/>
                <w:noProof/>
              </w:rPr>
              <w:t>Is the emission source deemed one of high-risk to City of Melbourne?</w:t>
            </w:r>
            <w:r w:rsidR="00C0000D">
              <w:rPr>
                <w:noProof/>
                <w:webHidden/>
              </w:rPr>
              <w:tab/>
            </w:r>
            <w:r w:rsidR="00C0000D">
              <w:rPr>
                <w:noProof/>
                <w:webHidden/>
              </w:rPr>
              <w:fldChar w:fldCharType="begin"/>
            </w:r>
            <w:r w:rsidR="00C0000D">
              <w:rPr>
                <w:noProof/>
                <w:webHidden/>
              </w:rPr>
              <w:instrText xml:space="preserve"> PAGEREF _Toc47885177 \h </w:instrText>
            </w:r>
            <w:r w:rsidR="00C0000D">
              <w:rPr>
                <w:noProof/>
                <w:webHidden/>
              </w:rPr>
            </w:r>
            <w:r w:rsidR="00C0000D">
              <w:rPr>
                <w:noProof/>
                <w:webHidden/>
              </w:rPr>
              <w:fldChar w:fldCharType="separate"/>
            </w:r>
            <w:r w:rsidR="003C08F7">
              <w:rPr>
                <w:noProof/>
                <w:webHidden/>
              </w:rPr>
              <w:t>8</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78" w:history="1">
            <w:r w:rsidR="00C0000D" w:rsidRPr="00EC5CDD">
              <w:rPr>
                <w:rStyle w:val="Hyperlink"/>
                <w:noProof/>
              </w:rPr>
              <w:t>Is the emission source of particular value to the event stakeholders?</w:t>
            </w:r>
            <w:r w:rsidR="00C0000D">
              <w:rPr>
                <w:noProof/>
                <w:webHidden/>
              </w:rPr>
              <w:tab/>
            </w:r>
            <w:r w:rsidR="00C0000D">
              <w:rPr>
                <w:noProof/>
                <w:webHidden/>
              </w:rPr>
              <w:fldChar w:fldCharType="begin"/>
            </w:r>
            <w:r w:rsidR="00C0000D">
              <w:rPr>
                <w:noProof/>
                <w:webHidden/>
              </w:rPr>
              <w:instrText xml:space="preserve"> PAGEREF _Toc47885178 \h </w:instrText>
            </w:r>
            <w:r w:rsidR="00C0000D">
              <w:rPr>
                <w:noProof/>
                <w:webHidden/>
              </w:rPr>
            </w:r>
            <w:r w:rsidR="00C0000D">
              <w:rPr>
                <w:noProof/>
                <w:webHidden/>
              </w:rPr>
              <w:fldChar w:fldCharType="separate"/>
            </w:r>
            <w:r w:rsidR="003C08F7">
              <w:rPr>
                <w:noProof/>
                <w:webHidden/>
              </w:rPr>
              <w:t>8</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79" w:history="1">
            <w:r w:rsidR="00C0000D" w:rsidRPr="00EC5CDD">
              <w:rPr>
                <w:rStyle w:val="Hyperlink"/>
                <w:noProof/>
              </w:rPr>
              <w:t>Is the combined impact of the emission source significant in quantitative size?</w:t>
            </w:r>
            <w:r w:rsidR="00C0000D">
              <w:rPr>
                <w:noProof/>
                <w:webHidden/>
              </w:rPr>
              <w:tab/>
            </w:r>
            <w:r w:rsidR="00C0000D">
              <w:rPr>
                <w:noProof/>
                <w:webHidden/>
              </w:rPr>
              <w:fldChar w:fldCharType="begin"/>
            </w:r>
            <w:r w:rsidR="00C0000D">
              <w:rPr>
                <w:noProof/>
                <w:webHidden/>
              </w:rPr>
              <w:instrText xml:space="preserve"> PAGEREF _Toc47885179 \h </w:instrText>
            </w:r>
            <w:r w:rsidR="00C0000D">
              <w:rPr>
                <w:noProof/>
                <w:webHidden/>
              </w:rPr>
            </w:r>
            <w:r w:rsidR="00C0000D">
              <w:rPr>
                <w:noProof/>
                <w:webHidden/>
              </w:rPr>
              <w:fldChar w:fldCharType="separate"/>
            </w:r>
            <w:r w:rsidR="003C08F7">
              <w:rPr>
                <w:noProof/>
                <w:webHidden/>
              </w:rPr>
              <w:t>8</w:t>
            </w:r>
            <w:r w:rsidR="00C0000D">
              <w:rPr>
                <w:noProof/>
                <w:webHidden/>
              </w:rPr>
              <w:fldChar w:fldCharType="end"/>
            </w:r>
          </w:hyperlink>
        </w:p>
        <w:p w:rsidR="00C0000D" w:rsidRDefault="00BE4B6C">
          <w:pPr>
            <w:pStyle w:val="TOC1"/>
            <w:tabs>
              <w:tab w:val="right" w:leader="dot" w:pos="9628"/>
            </w:tabs>
            <w:rPr>
              <w:rFonts w:asciiTheme="minorHAnsi" w:eastAsiaTheme="minorEastAsia" w:hAnsiTheme="minorHAnsi" w:cstheme="minorBidi"/>
              <w:noProof/>
              <w:sz w:val="22"/>
              <w:szCs w:val="22"/>
              <w:lang w:eastAsia="en-AU"/>
            </w:rPr>
          </w:pPr>
          <w:hyperlink w:anchor="_Toc47885180" w:history="1">
            <w:r w:rsidR="00C0000D" w:rsidRPr="00EC5CDD">
              <w:rPr>
                <w:rStyle w:val="Hyperlink"/>
                <w:noProof/>
              </w:rPr>
              <w:t>3. Emissions summary</w:t>
            </w:r>
            <w:r w:rsidR="00C0000D">
              <w:rPr>
                <w:noProof/>
                <w:webHidden/>
              </w:rPr>
              <w:tab/>
            </w:r>
            <w:r w:rsidR="00C0000D">
              <w:rPr>
                <w:noProof/>
                <w:webHidden/>
              </w:rPr>
              <w:fldChar w:fldCharType="begin"/>
            </w:r>
            <w:r w:rsidR="00C0000D">
              <w:rPr>
                <w:noProof/>
                <w:webHidden/>
              </w:rPr>
              <w:instrText xml:space="preserve"> PAGEREF _Toc47885180 \h </w:instrText>
            </w:r>
            <w:r w:rsidR="00C0000D">
              <w:rPr>
                <w:noProof/>
                <w:webHidden/>
              </w:rPr>
            </w:r>
            <w:r w:rsidR="00C0000D">
              <w:rPr>
                <w:noProof/>
                <w:webHidden/>
              </w:rPr>
              <w:fldChar w:fldCharType="separate"/>
            </w:r>
            <w:r w:rsidR="003C08F7">
              <w:rPr>
                <w:noProof/>
                <w:webHidden/>
              </w:rPr>
              <w:t>8</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81" w:history="1">
            <w:r w:rsidR="00C0000D" w:rsidRPr="00EC5CDD">
              <w:rPr>
                <w:rStyle w:val="Hyperlink"/>
                <w:noProof/>
              </w:rPr>
              <w:t>Table 3 Emissions Summary</w:t>
            </w:r>
            <w:r w:rsidR="00C0000D">
              <w:rPr>
                <w:noProof/>
                <w:webHidden/>
              </w:rPr>
              <w:tab/>
            </w:r>
            <w:r w:rsidR="00C0000D">
              <w:rPr>
                <w:noProof/>
                <w:webHidden/>
              </w:rPr>
              <w:fldChar w:fldCharType="begin"/>
            </w:r>
            <w:r w:rsidR="00C0000D">
              <w:rPr>
                <w:noProof/>
                <w:webHidden/>
              </w:rPr>
              <w:instrText xml:space="preserve"> PAGEREF _Toc47885181 \h </w:instrText>
            </w:r>
            <w:r w:rsidR="00C0000D">
              <w:rPr>
                <w:noProof/>
                <w:webHidden/>
              </w:rPr>
            </w:r>
            <w:r w:rsidR="00C0000D">
              <w:rPr>
                <w:noProof/>
                <w:webHidden/>
              </w:rPr>
              <w:fldChar w:fldCharType="separate"/>
            </w:r>
            <w:r w:rsidR="003C08F7">
              <w:rPr>
                <w:noProof/>
                <w:webHidden/>
              </w:rPr>
              <w:t>8</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82" w:history="1">
            <w:r w:rsidR="00C0000D" w:rsidRPr="00EC5CDD">
              <w:rPr>
                <w:rStyle w:val="Hyperlink"/>
                <w:noProof/>
                <w:spacing w:val="-1"/>
              </w:rPr>
              <w:t>True-up of emissions</w:t>
            </w:r>
            <w:r w:rsidR="00C0000D">
              <w:rPr>
                <w:noProof/>
                <w:webHidden/>
              </w:rPr>
              <w:tab/>
            </w:r>
            <w:r w:rsidR="00C0000D">
              <w:rPr>
                <w:noProof/>
                <w:webHidden/>
              </w:rPr>
              <w:fldChar w:fldCharType="begin"/>
            </w:r>
            <w:r w:rsidR="00C0000D">
              <w:rPr>
                <w:noProof/>
                <w:webHidden/>
              </w:rPr>
              <w:instrText xml:space="preserve"> PAGEREF _Toc47885182 \h </w:instrText>
            </w:r>
            <w:r w:rsidR="00C0000D">
              <w:rPr>
                <w:noProof/>
                <w:webHidden/>
              </w:rPr>
            </w:r>
            <w:r w:rsidR="00C0000D">
              <w:rPr>
                <w:noProof/>
                <w:webHidden/>
              </w:rPr>
              <w:fldChar w:fldCharType="separate"/>
            </w:r>
            <w:r w:rsidR="003C08F7">
              <w:rPr>
                <w:noProof/>
                <w:webHidden/>
              </w:rPr>
              <w:t>9</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83" w:history="1">
            <w:r w:rsidR="00C0000D" w:rsidRPr="00EC5CDD">
              <w:rPr>
                <w:rStyle w:val="Hyperlink"/>
                <w:noProof/>
              </w:rPr>
              <w:t>Table 4 True up of emissions</w:t>
            </w:r>
            <w:r w:rsidR="00C0000D">
              <w:rPr>
                <w:noProof/>
                <w:webHidden/>
              </w:rPr>
              <w:tab/>
            </w:r>
            <w:r w:rsidR="00C0000D">
              <w:rPr>
                <w:noProof/>
                <w:webHidden/>
              </w:rPr>
              <w:fldChar w:fldCharType="begin"/>
            </w:r>
            <w:r w:rsidR="00C0000D">
              <w:rPr>
                <w:noProof/>
                <w:webHidden/>
              </w:rPr>
              <w:instrText xml:space="preserve"> PAGEREF _Toc47885183 \h </w:instrText>
            </w:r>
            <w:r w:rsidR="00C0000D">
              <w:rPr>
                <w:noProof/>
                <w:webHidden/>
              </w:rPr>
            </w:r>
            <w:r w:rsidR="00C0000D">
              <w:rPr>
                <w:noProof/>
                <w:webHidden/>
              </w:rPr>
              <w:fldChar w:fldCharType="separate"/>
            </w:r>
            <w:r w:rsidR="003C08F7">
              <w:rPr>
                <w:noProof/>
                <w:webHidden/>
              </w:rPr>
              <w:t>9</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84" w:history="1">
            <w:r w:rsidR="00C0000D" w:rsidRPr="00EC5CDD">
              <w:rPr>
                <w:rStyle w:val="Hyperlink"/>
                <w:noProof/>
                <w:spacing w:val="-1"/>
              </w:rPr>
              <w:t>Carbon Neutral products</w:t>
            </w:r>
            <w:r w:rsidR="00C0000D">
              <w:rPr>
                <w:noProof/>
                <w:webHidden/>
              </w:rPr>
              <w:tab/>
            </w:r>
            <w:r w:rsidR="00C0000D">
              <w:rPr>
                <w:noProof/>
                <w:webHidden/>
              </w:rPr>
              <w:fldChar w:fldCharType="begin"/>
            </w:r>
            <w:r w:rsidR="00C0000D">
              <w:rPr>
                <w:noProof/>
                <w:webHidden/>
              </w:rPr>
              <w:instrText xml:space="preserve"> PAGEREF _Toc47885184 \h </w:instrText>
            </w:r>
            <w:r w:rsidR="00C0000D">
              <w:rPr>
                <w:noProof/>
                <w:webHidden/>
              </w:rPr>
            </w:r>
            <w:r w:rsidR="00C0000D">
              <w:rPr>
                <w:noProof/>
                <w:webHidden/>
              </w:rPr>
              <w:fldChar w:fldCharType="separate"/>
            </w:r>
            <w:r w:rsidR="003C08F7">
              <w:rPr>
                <w:noProof/>
                <w:webHidden/>
              </w:rPr>
              <w:t>11</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85" w:history="1">
            <w:r w:rsidR="00C0000D" w:rsidRPr="00EC5CDD">
              <w:rPr>
                <w:rStyle w:val="Hyperlink"/>
                <w:noProof/>
                <w:spacing w:val="-1"/>
              </w:rPr>
              <w:t>Electricity Summary</w:t>
            </w:r>
            <w:r w:rsidR="00C0000D">
              <w:rPr>
                <w:noProof/>
                <w:webHidden/>
              </w:rPr>
              <w:tab/>
            </w:r>
            <w:r w:rsidR="00C0000D">
              <w:rPr>
                <w:noProof/>
                <w:webHidden/>
              </w:rPr>
              <w:fldChar w:fldCharType="begin"/>
            </w:r>
            <w:r w:rsidR="00C0000D">
              <w:rPr>
                <w:noProof/>
                <w:webHidden/>
              </w:rPr>
              <w:instrText xml:space="preserve"> PAGEREF _Toc47885185 \h </w:instrText>
            </w:r>
            <w:r w:rsidR="00C0000D">
              <w:rPr>
                <w:noProof/>
                <w:webHidden/>
              </w:rPr>
            </w:r>
            <w:r w:rsidR="00C0000D">
              <w:rPr>
                <w:noProof/>
                <w:webHidden/>
              </w:rPr>
              <w:fldChar w:fldCharType="separate"/>
            </w:r>
            <w:r w:rsidR="003C08F7">
              <w:rPr>
                <w:noProof/>
                <w:webHidden/>
              </w:rPr>
              <w:t>11</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86" w:history="1">
            <w:r w:rsidR="00C0000D" w:rsidRPr="00EC5CDD">
              <w:rPr>
                <w:rStyle w:val="Hyperlink"/>
                <w:noProof/>
              </w:rPr>
              <w:t>Table 5 Location-based summary</w:t>
            </w:r>
            <w:r w:rsidR="00C0000D">
              <w:rPr>
                <w:noProof/>
                <w:webHidden/>
              </w:rPr>
              <w:tab/>
            </w:r>
            <w:r w:rsidR="00C0000D">
              <w:rPr>
                <w:noProof/>
                <w:webHidden/>
              </w:rPr>
              <w:fldChar w:fldCharType="begin"/>
            </w:r>
            <w:r w:rsidR="00C0000D">
              <w:rPr>
                <w:noProof/>
                <w:webHidden/>
              </w:rPr>
              <w:instrText xml:space="preserve"> PAGEREF _Toc47885186 \h </w:instrText>
            </w:r>
            <w:r w:rsidR="00C0000D">
              <w:rPr>
                <w:noProof/>
                <w:webHidden/>
              </w:rPr>
            </w:r>
            <w:r w:rsidR="00C0000D">
              <w:rPr>
                <w:noProof/>
                <w:webHidden/>
              </w:rPr>
              <w:fldChar w:fldCharType="separate"/>
            </w:r>
            <w:r w:rsidR="003C08F7">
              <w:rPr>
                <w:noProof/>
                <w:webHidden/>
              </w:rPr>
              <w:t>11</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87" w:history="1">
            <w:r w:rsidR="00C0000D" w:rsidRPr="00EC5CDD">
              <w:rPr>
                <w:rStyle w:val="Hyperlink"/>
                <w:noProof/>
                <w:spacing w:val="-1"/>
              </w:rPr>
              <w:t>Data collection of significant emissions</w:t>
            </w:r>
            <w:r w:rsidR="00C0000D">
              <w:rPr>
                <w:noProof/>
                <w:webHidden/>
              </w:rPr>
              <w:tab/>
            </w:r>
            <w:r w:rsidR="00C0000D">
              <w:rPr>
                <w:noProof/>
                <w:webHidden/>
              </w:rPr>
              <w:fldChar w:fldCharType="begin"/>
            </w:r>
            <w:r w:rsidR="00C0000D">
              <w:rPr>
                <w:noProof/>
                <w:webHidden/>
              </w:rPr>
              <w:instrText xml:space="preserve"> PAGEREF _Toc47885187 \h </w:instrText>
            </w:r>
            <w:r w:rsidR="00C0000D">
              <w:rPr>
                <w:noProof/>
                <w:webHidden/>
              </w:rPr>
            </w:r>
            <w:r w:rsidR="00C0000D">
              <w:rPr>
                <w:noProof/>
                <w:webHidden/>
              </w:rPr>
              <w:fldChar w:fldCharType="separate"/>
            </w:r>
            <w:r w:rsidR="003C08F7">
              <w:rPr>
                <w:noProof/>
                <w:webHidden/>
              </w:rPr>
              <w:t>12</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88" w:history="1">
            <w:r w:rsidR="00C0000D" w:rsidRPr="00EC5CDD">
              <w:rPr>
                <w:rStyle w:val="Hyperlink"/>
                <w:noProof/>
              </w:rPr>
              <w:t>Table 6 Data collection of significant emissions</w:t>
            </w:r>
            <w:r w:rsidR="00C0000D">
              <w:rPr>
                <w:noProof/>
                <w:webHidden/>
              </w:rPr>
              <w:tab/>
            </w:r>
            <w:r w:rsidR="00C0000D">
              <w:rPr>
                <w:noProof/>
                <w:webHidden/>
              </w:rPr>
              <w:fldChar w:fldCharType="begin"/>
            </w:r>
            <w:r w:rsidR="00C0000D">
              <w:rPr>
                <w:noProof/>
                <w:webHidden/>
              </w:rPr>
              <w:instrText xml:space="preserve"> PAGEREF _Toc47885188 \h </w:instrText>
            </w:r>
            <w:r w:rsidR="00C0000D">
              <w:rPr>
                <w:noProof/>
                <w:webHidden/>
              </w:rPr>
            </w:r>
            <w:r w:rsidR="00C0000D">
              <w:rPr>
                <w:noProof/>
                <w:webHidden/>
              </w:rPr>
              <w:fldChar w:fldCharType="separate"/>
            </w:r>
            <w:r w:rsidR="003C08F7">
              <w:rPr>
                <w:noProof/>
                <w:webHidden/>
              </w:rPr>
              <w:t>12</w:t>
            </w:r>
            <w:r w:rsidR="00C0000D">
              <w:rPr>
                <w:noProof/>
                <w:webHidden/>
              </w:rPr>
              <w:fldChar w:fldCharType="end"/>
            </w:r>
          </w:hyperlink>
        </w:p>
        <w:p w:rsidR="00C0000D" w:rsidRDefault="00BE4B6C">
          <w:pPr>
            <w:pStyle w:val="TOC1"/>
            <w:tabs>
              <w:tab w:val="right" w:leader="dot" w:pos="9628"/>
            </w:tabs>
            <w:rPr>
              <w:rFonts w:asciiTheme="minorHAnsi" w:eastAsiaTheme="minorEastAsia" w:hAnsiTheme="minorHAnsi" w:cstheme="minorBidi"/>
              <w:noProof/>
              <w:sz w:val="22"/>
              <w:szCs w:val="22"/>
              <w:lang w:eastAsia="en-AU"/>
            </w:rPr>
          </w:pPr>
          <w:hyperlink w:anchor="_Toc47885189" w:history="1">
            <w:r w:rsidR="00C0000D" w:rsidRPr="00EC5CDD">
              <w:rPr>
                <w:rStyle w:val="Hyperlink"/>
                <w:noProof/>
                <w:spacing w:val="-1"/>
              </w:rPr>
              <w:t>4. Carbon offsets</w:t>
            </w:r>
            <w:r w:rsidR="00C0000D">
              <w:rPr>
                <w:noProof/>
                <w:webHidden/>
              </w:rPr>
              <w:tab/>
            </w:r>
            <w:r w:rsidR="00C0000D">
              <w:rPr>
                <w:noProof/>
                <w:webHidden/>
              </w:rPr>
              <w:fldChar w:fldCharType="begin"/>
            </w:r>
            <w:r w:rsidR="00C0000D">
              <w:rPr>
                <w:noProof/>
                <w:webHidden/>
              </w:rPr>
              <w:instrText xml:space="preserve"> PAGEREF _Toc47885189 \h </w:instrText>
            </w:r>
            <w:r w:rsidR="00C0000D">
              <w:rPr>
                <w:noProof/>
                <w:webHidden/>
              </w:rPr>
            </w:r>
            <w:r w:rsidR="00C0000D">
              <w:rPr>
                <w:noProof/>
                <w:webHidden/>
              </w:rPr>
              <w:fldChar w:fldCharType="separate"/>
            </w:r>
            <w:r w:rsidR="003C08F7">
              <w:rPr>
                <w:noProof/>
                <w:webHidden/>
              </w:rPr>
              <w:t>14</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90" w:history="1">
            <w:r w:rsidR="00C0000D" w:rsidRPr="00EC5CDD">
              <w:rPr>
                <w:rStyle w:val="Hyperlink"/>
                <w:noProof/>
                <w:spacing w:val="-1"/>
              </w:rPr>
              <w:t>Offset purchasing strategy</w:t>
            </w:r>
            <w:r w:rsidR="00C0000D">
              <w:rPr>
                <w:noProof/>
                <w:webHidden/>
              </w:rPr>
              <w:tab/>
            </w:r>
            <w:r w:rsidR="00C0000D">
              <w:rPr>
                <w:noProof/>
                <w:webHidden/>
              </w:rPr>
              <w:fldChar w:fldCharType="begin"/>
            </w:r>
            <w:r w:rsidR="00C0000D">
              <w:rPr>
                <w:noProof/>
                <w:webHidden/>
              </w:rPr>
              <w:instrText xml:space="preserve"> PAGEREF _Toc47885190 \h </w:instrText>
            </w:r>
            <w:r w:rsidR="00C0000D">
              <w:rPr>
                <w:noProof/>
                <w:webHidden/>
              </w:rPr>
            </w:r>
            <w:r w:rsidR="00C0000D">
              <w:rPr>
                <w:noProof/>
                <w:webHidden/>
              </w:rPr>
              <w:fldChar w:fldCharType="separate"/>
            </w:r>
            <w:r w:rsidR="003C08F7">
              <w:rPr>
                <w:noProof/>
                <w:webHidden/>
              </w:rPr>
              <w:t>14</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91" w:history="1">
            <w:r w:rsidR="00C0000D" w:rsidRPr="00EC5CDD">
              <w:rPr>
                <w:rStyle w:val="Hyperlink"/>
                <w:noProof/>
              </w:rPr>
              <w:t>Table 7 Forward purchasing summary</w:t>
            </w:r>
            <w:r w:rsidR="00C0000D">
              <w:rPr>
                <w:noProof/>
                <w:webHidden/>
              </w:rPr>
              <w:tab/>
            </w:r>
            <w:r w:rsidR="00C0000D">
              <w:rPr>
                <w:noProof/>
                <w:webHidden/>
              </w:rPr>
              <w:fldChar w:fldCharType="begin"/>
            </w:r>
            <w:r w:rsidR="00C0000D">
              <w:rPr>
                <w:noProof/>
                <w:webHidden/>
              </w:rPr>
              <w:instrText xml:space="preserve"> PAGEREF _Toc47885191 \h </w:instrText>
            </w:r>
            <w:r w:rsidR="00C0000D">
              <w:rPr>
                <w:noProof/>
                <w:webHidden/>
              </w:rPr>
            </w:r>
            <w:r w:rsidR="00C0000D">
              <w:rPr>
                <w:noProof/>
                <w:webHidden/>
              </w:rPr>
              <w:fldChar w:fldCharType="separate"/>
            </w:r>
            <w:r w:rsidR="003C08F7">
              <w:rPr>
                <w:noProof/>
                <w:webHidden/>
              </w:rPr>
              <w:t>14</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92" w:history="1">
            <w:r w:rsidR="00C0000D" w:rsidRPr="00EC5CDD">
              <w:rPr>
                <w:rStyle w:val="Hyperlink"/>
                <w:noProof/>
              </w:rPr>
              <w:t>Table 8 Offset Summary</w:t>
            </w:r>
            <w:r w:rsidR="00C0000D">
              <w:rPr>
                <w:noProof/>
                <w:webHidden/>
              </w:rPr>
              <w:tab/>
            </w:r>
            <w:r w:rsidR="00C0000D">
              <w:rPr>
                <w:noProof/>
                <w:webHidden/>
              </w:rPr>
              <w:fldChar w:fldCharType="begin"/>
            </w:r>
            <w:r w:rsidR="00C0000D">
              <w:rPr>
                <w:noProof/>
                <w:webHidden/>
              </w:rPr>
              <w:instrText xml:space="preserve"> PAGEREF _Toc47885192 \h </w:instrText>
            </w:r>
            <w:r w:rsidR="00C0000D">
              <w:rPr>
                <w:noProof/>
                <w:webHidden/>
              </w:rPr>
            </w:r>
            <w:r w:rsidR="00C0000D">
              <w:rPr>
                <w:noProof/>
                <w:webHidden/>
              </w:rPr>
              <w:fldChar w:fldCharType="separate"/>
            </w:r>
            <w:r w:rsidR="003C08F7">
              <w:rPr>
                <w:noProof/>
                <w:webHidden/>
              </w:rPr>
              <w:t>15</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193" w:history="1">
            <w:r w:rsidR="00C0000D" w:rsidRPr="00EC5CDD">
              <w:rPr>
                <w:rStyle w:val="Hyperlink"/>
                <w:noProof/>
                <w:spacing w:val="-1"/>
              </w:rPr>
              <w:t>Co-benefits</w:t>
            </w:r>
            <w:r w:rsidR="00C0000D">
              <w:rPr>
                <w:noProof/>
                <w:webHidden/>
              </w:rPr>
              <w:tab/>
            </w:r>
            <w:r w:rsidR="00C0000D">
              <w:rPr>
                <w:noProof/>
                <w:webHidden/>
              </w:rPr>
              <w:fldChar w:fldCharType="begin"/>
            </w:r>
            <w:r w:rsidR="00C0000D">
              <w:rPr>
                <w:noProof/>
                <w:webHidden/>
              </w:rPr>
              <w:instrText xml:space="preserve"> PAGEREF _Toc47885193 \h </w:instrText>
            </w:r>
            <w:r w:rsidR="00C0000D">
              <w:rPr>
                <w:noProof/>
                <w:webHidden/>
              </w:rPr>
            </w:r>
            <w:r w:rsidR="00C0000D">
              <w:rPr>
                <w:noProof/>
                <w:webHidden/>
              </w:rPr>
              <w:fldChar w:fldCharType="separate"/>
            </w:r>
            <w:r w:rsidR="003C08F7">
              <w:rPr>
                <w:noProof/>
                <w:webHidden/>
              </w:rPr>
              <w:t>19</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94" w:history="1">
            <w:r w:rsidR="00C0000D" w:rsidRPr="00EC5CDD">
              <w:rPr>
                <w:rStyle w:val="Hyperlink"/>
                <w:noProof/>
              </w:rPr>
              <w:t>Savannah burning - Australia</w:t>
            </w:r>
            <w:r w:rsidR="00C0000D">
              <w:rPr>
                <w:noProof/>
                <w:webHidden/>
              </w:rPr>
              <w:tab/>
            </w:r>
            <w:r w:rsidR="00C0000D">
              <w:rPr>
                <w:noProof/>
                <w:webHidden/>
              </w:rPr>
              <w:fldChar w:fldCharType="begin"/>
            </w:r>
            <w:r w:rsidR="00C0000D">
              <w:rPr>
                <w:noProof/>
                <w:webHidden/>
              </w:rPr>
              <w:instrText xml:space="preserve"> PAGEREF _Toc47885194 \h </w:instrText>
            </w:r>
            <w:r w:rsidR="00C0000D">
              <w:rPr>
                <w:noProof/>
                <w:webHidden/>
              </w:rPr>
            </w:r>
            <w:r w:rsidR="00C0000D">
              <w:rPr>
                <w:noProof/>
                <w:webHidden/>
              </w:rPr>
              <w:fldChar w:fldCharType="separate"/>
            </w:r>
            <w:r w:rsidR="003C08F7">
              <w:rPr>
                <w:noProof/>
                <w:webHidden/>
              </w:rPr>
              <w:t>19</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95" w:history="1">
            <w:r w:rsidR="00C0000D" w:rsidRPr="00EC5CDD">
              <w:rPr>
                <w:rStyle w:val="Hyperlink"/>
                <w:noProof/>
              </w:rPr>
              <w:t>Human induced regeneration of native forest - Australia</w:t>
            </w:r>
            <w:r w:rsidR="00C0000D">
              <w:rPr>
                <w:noProof/>
                <w:webHidden/>
              </w:rPr>
              <w:tab/>
            </w:r>
            <w:r w:rsidR="00C0000D">
              <w:rPr>
                <w:noProof/>
                <w:webHidden/>
              </w:rPr>
              <w:fldChar w:fldCharType="begin"/>
            </w:r>
            <w:r w:rsidR="00C0000D">
              <w:rPr>
                <w:noProof/>
                <w:webHidden/>
              </w:rPr>
              <w:instrText xml:space="preserve"> PAGEREF _Toc47885195 \h </w:instrText>
            </w:r>
            <w:r w:rsidR="00C0000D">
              <w:rPr>
                <w:noProof/>
                <w:webHidden/>
              </w:rPr>
            </w:r>
            <w:r w:rsidR="00C0000D">
              <w:rPr>
                <w:noProof/>
                <w:webHidden/>
              </w:rPr>
              <w:fldChar w:fldCharType="separate"/>
            </w:r>
            <w:r w:rsidR="003C08F7">
              <w:rPr>
                <w:noProof/>
                <w:webHidden/>
              </w:rPr>
              <w:t>19</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96" w:history="1">
            <w:r w:rsidR="00C0000D" w:rsidRPr="00EC5CDD">
              <w:rPr>
                <w:rStyle w:val="Hyperlink"/>
                <w:noProof/>
              </w:rPr>
              <w:t xml:space="preserve">Renewable Energy Project </w:t>
            </w:r>
            <w:r w:rsidR="00C0000D" w:rsidRPr="00EC5CDD">
              <w:rPr>
                <w:rStyle w:val="Hyperlink"/>
                <w:rFonts w:ascii="Cambria Math" w:hAnsi="Cambria Math" w:cs="Cambria Math"/>
                <w:noProof/>
              </w:rPr>
              <w:t>‐</w:t>
            </w:r>
            <w:r w:rsidR="00C0000D" w:rsidRPr="00EC5CDD">
              <w:rPr>
                <w:rStyle w:val="Hyperlink"/>
                <w:noProof/>
              </w:rPr>
              <w:t xml:space="preserve"> India</w:t>
            </w:r>
            <w:r w:rsidR="00C0000D">
              <w:rPr>
                <w:noProof/>
                <w:webHidden/>
              </w:rPr>
              <w:tab/>
            </w:r>
            <w:r w:rsidR="00C0000D">
              <w:rPr>
                <w:noProof/>
                <w:webHidden/>
              </w:rPr>
              <w:fldChar w:fldCharType="begin"/>
            </w:r>
            <w:r w:rsidR="00C0000D">
              <w:rPr>
                <w:noProof/>
                <w:webHidden/>
              </w:rPr>
              <w:instrText xml:space="preserve"> PAGEREF _Toc47885196 \h </w:instrText>
            </w:r>
            <w:r w:rsidR="00C0000D">
              <w:rPr>
                <w:noProof/>
                <w:webHidden/>
              </w:rPr>
            </w:r>
            <w:r w:rsidR="00C0000D">
              <w:rPr>
                <w:noProof/>
                <w:webHidden/>
              </w:rPr>
              <w:fldChar w:fldCharType="separate"/>
            </w:r>
            <w:r w:rsidR="003C08F7">
              <w:rPr>
                <w:noProof/>
                <w:webHidden/>
              </w:rPr>
              <w:t>19</w:t>
            </w:r>
            <w:r w:rsidR="00C0000D">
              <w:rPr>
                <w:noProof/>
                <w:webHidden/>
              </w:rPr>
              <w:fldChar w:fldCharType="end"/>
            </w:r>
          </w:hyperlink>
        </w:p>
        <w:p w:rsidR="00C0000D" w:rsidRDefault="00BE4B6C">
          <w:pPr>
            <w:pStyle w:val="TOC1"/>
            <w:tabs>
              <w:tab w:val="right" w:leader="dot" w:pos="9628"/>
            </w:tabs>
            <w:rPr>
              <w:rFonts w:asciiTheme="minorHAnsi" w:eastAsiaTheme="minorEastAsia" w:hAnsiTheme="minorHAnsi" w:cstheme="minorBidi"/>
              <w:noProof/>
              <w:sz w:val="22"/>
              <w:szCs w:val="22"/>
              <w:lang w:eastAsia="en-AU"/>
            </w:rPr>
          </w:pPr>
          <w:hyperlink w:anchor="_Toc47885197" w:history="1">
            <w:r w:rsidR="00C0000D" w:rsidRPr="00EC5CDD">
              <w:rPr>
                <w:rStyle w:val="Hyperlink"/>
                <w:noProof/>
                <w:spacing w:val="-1"/>
              </w:rPr>
              <w:t>5. Use of trade mark</w:t>
            </w:r>
            <w:r w:rsidR="00C0000D">
              <w:rPr>
                <w:noProof/>
                <w:webHidden/>
              </w:rPr>
              <w:tab/>
            </w:r>
            <w:r w:rsidR="00C0000D">
              <w:rPr>
                <w:noProof/>
                <w:webHidden/>
              </w:rPr>
              <w:fldChar w:fldCharType="begin"/>
            </w:r>
            <w:r w:rsidR="00C0000D">
              <w:rPr>
                <w:noProof/>
                <w:webHidden/>
              </w:rPr>
              <w:instrText xml:space="preserve"> PAGEREF _Toc47885197 \h </w:instrText>
            </w:r>
            <w:r w:rsidR="00C0000D">
              <w:rPr>
                <w:noProof/>
                <w:webHidden/>
              </w:rPr>
            </w:r>
            <w:r w:rsidR="00C0000D">
              <w:rPr>
                <w:noProof/>
                <w:webHidden/>
              </w:rPr>
              <w:fldChar w:fldCharType="separate"/>
            </w:r>
            <w:r w:rsidR="003C08F7">
              <w:rPr>
                <w:noProof/>
                <w:webHidden/>
              </w:rPr>
              <w:t>20</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198" w:history="1">
            <w:r w:rsidR="00C0000D" w:rsidRPr="00EC5CDD">
              <w:rPr>
                <w:rStyle w:val="Hyperlink"/>
                <w:noProof/>
              </w:rPr>
              <w:t>Table 9 Use of trade mark</w:t>
            </w:r>
            <w:r w:rsidR="00C0000D">
              <w:rPr>
                <w:noProof/>
                <w:webHidden/>
              </w:rPr>
              <w:tab/>
            </w:r>
            <w:r w:rsidR="00C0000D">
              <w:rPr>
                <w:noProof/>
                <w:webHidden/>
              </w:rPr>
              <w:fldChar w:fldCharType="begin"/>
            </w:r>
            <w:r w:rsidR="00C0000D">
              <w:rPr>
                <w:noProof/>
                <w:webHidden/>
              </w:rPr>
              <w:instrText xml:space="preserve"> PAGEREF _Toc47885198 \h </w:instrText>
            </w:r>
            <w:r w:rsidR="00C0000D">
              <w:rPr>
                <w:noProof/>
                <w:webHidden/>
              </w:rPr>
            </w:r>
            <w:r w:rsidR="00C0000D">
              <w:rPr>
                <w:noProof/>
                <w:webHidden/>
              </w:rPr>
              <w:fldChar w:fldCharType="separate"/>
            </w:r>
            <w:r w:rsidR="003C08F7">
              <w:rPr>
                <w:noProof/>
                <w:webHidden/>
              </w:rPr>
              <w:t>20</w:t>
            </w:r>
            <w:r w:rsidR="00C0000D">
              <w:rPr>
                <w:noProof/>
                <w:webHidden/>
              </w:rPr>
              <w:fldChar w:fldCharType="end"/>
            </w:r>
          </w:hyperlink>
        </w:p>
        <w:p w:rsidR="00C0000D" w:rsidRDefault="00BE4B6C">
          <w:pPr>
            <w:pStyle w:val="TOC1"/>
            <w:tabs>
              <w:tab w:val="right" w:leader="dot" w:pos="9628"/>
            </w:tabs>
            <w:rPr>
              <w:rFonts w:asciiTheme="minorHAnsi" w:eastAsiaTheme="minorEastAsia" w:hAnsiTheme="minorHAnsi" w:cstheme="minorBidi"/>
              <w:noProof/>
              <w:sz w:val="22"/>
              <w:szCs w:val="22"/>
              <w:lang w:eastAsia="en-AU"/>
            </w:rPr>
          </w:pPr>
          <w:hyperlink w:anchor="_Toc47885199" w:history="1">
            <w:r w:rsidR="00C0000D" w:rsidRPr="00EC5CDD">
              <w:rPr>
                <w:rStyle w:val="Hyperlink"/>
                <w:noProof/>
                <w:spacing w:val="-1"/>
              </w:rPr>
              <w:t>6. Additional information</w:t>
            </w:r>
            <w:r w:rsidR="00C0000D">
              <w:rPr>
                <w:noProof/>
                <w:webHidden/>
              </w:rPr>
              <w:tab/>
            </w:r>
            <w:r w:rsidR="00C0000D">
              <w:rPr>
                <w:noProof/>
                <w:webHidden/>
              </w:rPr>
              <w:fldChar w:fldCharType="begin"/>
            </w:r>
            <w:r w:rsidR="00C0000D">
              <w:rPr>
                <w:noProof/>
                <w:webHidden/>
              </w:rPr>
              <w:instrText xml:space="preserve"> PAGEREF _Toc47885199 \h </w:instrText>
            </w:r>
            <w:r w:rsidR="00C0000D">
              <w:rPr>
                <w:noProof/>
                <w:webHidden/>
              </w:rPr>
            </w:r>
            <w:r w:rsidR="00C0000D">
              <w:rPr>
                <w:noProof/>
                <w:webHidden/>
              </w:rPr>
              <w:fldChar w:fldCharType="separate"/>
            </w:r>
            <w:r w:rsidR="003C08F7">
              <w:rPr>
                <w:noProof/>
                <w:webHidden/>
              </w:rPr>
              <w:t>21</w:t>
            </w:r>
            <w:r w:rsidR="00C0000D">
              <w:rPr>
                <w:noProof/>
                <w:webHidden/>
              </w:rPr>
              <w:fldChar w:fldCharType="end"/>
            </w:r>
          </w:hyperlink>
        </w:p>
        <w:p w:rsidR="00C0000D" w:rsidRDefault="00BE4B6C">
          <w:pPr>
            <w:pStyle w:val="TOC2"/>
            <w:rPr>
              <w:rFonts w:asciiTheme="minorHAnsi" w:eastAsiaTheme="minorEastAsia" w:hAnsiTheme="minorHAnsi" w:cstheme="minorBidi"/>
              <w:noProof/>
              <w:sz w:val="22"/>
              <w:szCs w:val="22"/>
              <w:lang w:eastAsia="en-AU"/>
            </w:rPr>
          </w:pPr>
          <w:hyperlink w:anchor="_Toc47885200" w:history="1">
            <w:r w:rsidR="00C0000D" w:rsidRPr="00EC5CDD">
              <w:rPr>
                <w:rStyle w:val="Hyperlink"/>
                <w:noProof/>
              </w:rPr>
              <w:t>Appendix 1 - Excluded emissions</w:t>
            </w:r>
            <w:r w:rsidR="00C0000D">
              <w:rPr>
                <w:noProof/>
                <w:webHidden/>
              </w:rPr>
              <w:tab/>
            </w:r>
            <w:r w:rsidR="00C0000D">
              <w:rPr>
                <w:noProof/>
                <w:webHidden/>
              </w:rPr>
              <w:fldChar w:fldCharType="begin"/>
            </w:r>
            <w:r w:rsidR="00C0000D">
              <w:rPr>
                <w:noProof/>
                <w:webHidden/>
              </w:rPr>
              <w:instrText xml:space="preserve"> PAGEREF _Toc47885200 \h </w:instrText>
            </w:r>
            <w:r w:rsidR="00C0000D">
              <w:rPr>
                <w:noProof/>
                <w:webHidden/>
              </w:rPr>
            </w:r>
            <w:r w:rsidR="00C0000D">
              <w:rPr>
                <w:noProof/>
                <w:webHidden/>
              </w:rPr>
              <w:fldChar w:fldCharType="separate"/>
            </w:r>
            <w:r w:rsidR="003C08F7">
              <w:rPr>
                <w:noProof/>
                <w:webHidden/>
              </w:rPr>
              <w:t>21</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201" w:history="1">
            <w:r w:rsidR="00C0000D" w:rsidRPr="00EC5CDD">
              <w:rPr>
                <w:rStyle w:val="Hyperlink"/>
                <w:noProof/>
              </w:rPr>
              <w:t>Relevance Test</w:t>
            </w:r>
            <w:r w:rsidR="00C0000D">
              <w:rPr>
                <w:noProof/>
                <w:webHidden/>
              </w:rPr>
              <w:tab/>
            </w:r>
            <w:r w:rsidR="00C0000D">
              <w:rPr>
                <w:noProof/>
                <w:webHidden/>
              </w:rPr>
              <w:fldChar w:fldCharType="begin"/>
            </w:r>
            <w:r w:rsidR="00C0000D">
              <w:rPr>
                <w:noProof/>
                <w:webHidden/>
              </w:rPr>
              <w:instrText xml:space="preserve"> PAGEREF _Toc47885201 \h </w:instrText>
            </w:r>
            <w:r w:rsidR="00C0000D">
              <w:rPr>
                <w:noProof/>
                <w:webHidden/>
              </w:rPr>
            </w:r>
            <w:r w:rsidR="00C0000D">
              <w:rPr>
                <w:noProof/>
                <w:webHidden/>
              </w:rPr>
              <w:fldChar w:fldCharType="separate"/>
            </w:r>
            <w:r w:rsidR="003C08F7">
              <w:rPr>
                <w:noProof/>
                <w:webHidden/>
              </w:rPr>
              <w:t>21</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202" w:history="1">
            <w:r w:rsidR="00C0000D" w:rsidRPr="00EC5CDD">
              <w:rPr>
                <w:rStyle w:val="Hyperlink"/>
                <w:noProof/>
              </w:rPr>
              <w:t>Appendix 2 – ACCUs surrendered for Large Event Portfolio – pre-event</w:t>
            </w:r>
            <w:r w:rsidR="00C0000D">
              <w:rPr>
                <w:noProof/>
                <w:webHidden/>
              </w:rPr>
              <w:tab/>
            </w:r>
            <w:r w:rsidR="00C0000D">
              <w:rPr>
                <w:noProof/>
                <w:webHidden/>
              </w:rPr>
              <w:fldChar w:fldCharType="begin"/>
            </w:r>
            <w:r w:rsidR="00C0000D">
              <w:rPr>
                <w:noProof/>
                <w:webHidden/>
              </w:rPr>
              <w:instrText xml:space="preserve"> PAGEREF _Toc47885202 \h </w:instrText>
            </w:r>
            <w:r w:rsidR="00C0000D">
              <w:rPr>
                <w:noProof/>
                <w:webHidden/>
              </w:rPr>
            </w:r>
            <w:r w:rsidR="00C0000D">
              <w:rPr>
                <w:noProof/>
                <w:webHidden/>
              </w:rPr>
              <w:fldChar w:fldCharType="separate"/>
            </w:r>
            <w:r w:rsidR="003C08F7">
              <w:rPr>
                <w:noProof/>
                <w:webHidden/>
              </w:rPr>
              <w:t>23</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203" w:history="1">
            <w:r w:rsidR="00C0000D" w:rsidRPr="00EC5CDD">
              <w:rPr>
                <w:rStyle w:val="Hyperlink"/>
                <w:noProof/>
              </w:rPr>
              <w:t>Appendix 3 – VCUs Surrendered for Large Event Portfolio – pre-event</w:t>
            </w:r>
            <w:r w:rsidR="00C0000D">
              <w:rPr>
                <w:noProof/>
                <w:webHidden/>
              </w:rPr>
              <w:tab/>
            </w:r>
            <w:r w:rsidR="00C0000D">
              <w:rPr>
                <w:noProof/>
                <w:webHidden/>
              </w:rPr>
              <w:fldChar w:fldCharType="begin"/>
            </w:r>
            <w:r w:rsidR="00C0000D">
              <w:rPr>
                <w:noProof/>
                <w:webHidden/>
              </w:rPr>
              <w:instrText xml:space="preserve"> PAGEREF _Toc47885203 \h </w:instrText>
            </w:r>
            <w:r w:rsidR="00C0000D">
              <w:rPr>
                <w:noProof/>
                <w:webHidden/>
              </w:rPr>
            </w:r>
            <w:r w:rsidR="00C0000D">
              <w:rPr>
                <w:noProof/>
                <w:webHidden/>
              </w:rPr>
              <w:fldChar w:fldCharType="separate"/>
            </w:r>
            <w:r w:rsidR="003C08F7">
              <w:rPr>
                <w:noProof/>
                <w:webHidden/>
              </w:rPr>
              <w:t>24</w:t>
            </w:r>
            <w:r w:rsidR="00C0000D">
              <w:rPr>
                <w:noProof/>
                <w:webHidden/>
              </w:rPr>
              <w:fldChar w:fldCharType="end"/>
            </w:r>
          </w:hyperlink>
        </w:p>
        <w:p w:rsidR="00C0000D" w:rsidRDefault="00BE4B6C">
          <w:pPr>
            <w:pStyle w:val="TOC3"/>
            <w:rPr>
              <w:rFonts w:asciiTheme="minorHAnsi" w:eastAsiaTheme="minorEastAsia" w:hAnsiTheme="minorHAnsi" w:cstheme="minorBidi"/>
              <w:noProof/>
              <w:sz w:val="22"/>
              <w:szCs w:val="22"/>
              <w:lang w:eastAsia="en-AU"/>
            </w:rPr>
          </w:pPr>
          <w:hyperlink w:anchor="_Toc47885204" w:history="1">
            <w:r w:rsidR="00C0000D" w:rsidRPr="00EC5CDD">
              <w:rPr>
                <w:rStyle w:val="Hyperlink"/>
                <w:noProof/>
              </w:rPr>
              <w:t>Appendix 4 – ACCUs Surrendered for Melbourne Fashion Week – post-event</w:t>
            </w:r>
            <w:r w:rsidR="00C0000D">
              <w:rPr>
                <w:noProof/>
                <w:webHidden/>
              </w:rPr>
              <w:tab/>
            </w:r>
            <w:r w:rsidR="00C0000D">
              <w:rPr>
                <w:noProof/>
                <w:webHidden/>
              </w:rPr>
              <w:fldChar w:fldCharType="begin"/>
            </w:r>
            <w:r w:rsidR="00C0000D">
              <w:rPr>
                <w:noProof/>
                <w:webHidden/>
              </w:rPr>
              <w:instrText xml:space="preserve"> PAGEREF _Toc47885204 \h </w:instrText>
            </w:r>
            <w:r w:rsidR="00C0000D">
              <w:rPr>
                <w:noProof/>
                <w:webHidden/>
              </w:rPr>
            </w:r>
            <w:r w:rsidR="00C0000D">
              <w:rPr>
                <w:noProof/>
                <w:webHidden/>
              </w:rPr>
              <w:fldChar w:fldCharType="separate"/>
            </w:r>
            <w:r w:rsidR="003C08F7">
              <w:rPr>
                <w:noProof/>
                <w:webHidden/>
              </w:rPr>
              <w:t>25</w:t>
            </w:r>
            <w:r w:rsidR="00C0000D">
              <w:rPr>
                <w:noProof/>
                <w:webHidden/>
              </w:rPr>
              <w:fldChar w:fldCharType="end"/>
            </w:r>
          </w:hyperlink>
        </w:p>
        <w:p w:rsidR="00667809" w:rsidRDefault="00667809" w:rsidP="00667809">
          <w:r>
            <w:rPr>
              <w:b/>
              <w:bCs/>
              <w:noProof/>
            </w:rPr>
            <w:fldChar w:fldCharType="end"/>
          </w:r>
        </w:p>
      </w:sdtContent>
    </w:sdt>
    <w:p w:rsidR="00667809" w:rsidRPr="00A0432B" w:rsidRDefault="00667809" w:rsidP="00667809">
      <w:r w:rsidRPr="00A0432B">
        <w:br w:type="page"/>
      </w:r>
    </w:p>
    <w:p w:rsidR="00667809" w:rsidRPr="00955490" w:rsidRDefault="00667809" w:rsidP="00667809">
      <w:pPr>
        <w:pStyle w:val="Heading1"/>
        <w:rPr>
          <w:rFonts w:eastAsia="Cambria" w:cs="Cambria"/>
          <w:szCs w:val="28"/>
        </w:rPr>
      </w:pPr>
      <w:bookmarkStart w:id="1" w:name="Guidance_-_Public_Disclosure_Summary_v5."/>
      <w:bookmarkStart w:id="2" w:name="Declaration"/>
      <w:bookmarkStart w:id="3" w:name="1._Carbon_neutral_information"/>
      <w:bookmarkStart w:id="4" w:name="_Toc47885168"/>
      <w:bookmarkEnd w:id="1"/>
      <w:bookmarkEnd w:id="2"/>
      <w:bookmarkEnd w:id="3"/>
      <w:r w:rsidRPr="00955490">
        <w:rPr>
          <w:spacing w:val="-1"/>
          <w:szCs w:val="28"/>
        </w:rPr>
        <w:t>Carbon</w:t>
      </w:r>
      <w:r w:rsidRPr="00955490">
        <w:rPr>
          <w:spacing w:val="-11"/>
          <w:szCs w:val="28"/>
        </w:rPr>
        <w:t xml:space="preserve"> </w:t>
      </w:r>
      <w:r w:rsidRPr="00955490">
        <w:rPr>
          <w:spacing w:val="-1"/>
          <w:szCs w:val="28"/>
        </w:rPr>
        <w:t>neutral</w:t>
      </w:r>
      <w:r w:rsidRPr="00955490">
        <w:rPr>
          <w:spacing w:val="-11"/>
          <w:szCs w:val="28"/>
        </w:rPr>
        <w:t xml:space="preserve"> </w:t>
      </w:r>
      <w:r w:rsidRPr="00955490">
        <w:rPr>
          <w:spacing w:val="-1"/>
          <w:szCs w:val="28"/>
        </w:rPr>
        <w:t>information</w:t>
      </w:r>
      <w:bookmarkEnd w:id="4"/>
    </w:p>
    <w:p w:rsidR="00667809" w:rsidRPr="00E96298" w:rsidRDefault="00667809" w:rsidP="00667809">
      <w:pPr>
        <w:pStyle w:val="Heading2"/>
        <w:rPr>
          <w:rFonts w:eastAsia="Calibri" w:cs="Calibri"/>
        </w:rPr>
      </w:pPr>
      <w:bookmarkStart w:id="5" w:name="_Toc47885169"/>
      <w:r w:rsidRPr="00E96298">
        <w:rPr>
          <w:spacing w:val="-1"/>
        </w:rPr>
        <w:t>Description of certification</w:t>
      </w:r>
      <w:bookmarkEnd w:id="5"/>
    </w:p>
    <w:p w:rsidR="00667809" w:rsidRPr="00904902" w:rsidRDefault="00667809" w:rsidP="00667809">
      <w:pPr>
        <w:widowControl w:val="0"/>
        <w:tabs>
          <w:tab w:val="left" w:pos="822"/>
        </w:tabs>
        <w:spacing w:after="0"/>
        <w:ind w:right="-1"/>
      </w:pPr>
      <w:r w:rsidRPr="00904902">
        <w:t>Melbourne Fashion Week</w:t>
      </w:r>
      <w:r>
        <w:t xml:space="preserve"> is an annual event owned and produced by the City of Melbourne. It brings together a number of in-house and partner produced runways shows and fashion events to celebrate and promote wearable fashion in Melbourne. Melbourne Fashion Week 2019</w:t>
      </w:r>
      <w:r w:rsidRPr="00904902">
        <w:t xml:space="preserve"> r</w:t>
      </w:r>
      <w:r>
        <w:t xml:space="preserve">an from August 28 – September 5 </w:t>
      </w:r>
      <w:r w:rsidRPr="00904902">
        <w:t>and was certified carbon neutral by Climate Active as part of the City of Melbourne’s large carbon neutral events portfolio.</w:t>
      </w:r>
    </w:p>
    <w:p w:rsidR="00667809" w:rsidRPr="00904902" w:rsidRDefault="00667809" w:rsidP="00667809">
      <w:pPr>
        <w:widowControl w:val="0"/>
        <w:tabs>
          <w:tab w:val="left" w:pos="822"/>
        </w:tabs>
        <w:spacing w:after="0"/>
        <w:ind w:right="-1"/>
      </w:pPr>
      <w:r w:rsidRPr="00904902">
        <w:t>As a certified carbon neutral organisation, the City of Melb</w:t>
      </w:r>
      <w:r>
        <w:t>ourne manages an active emissions r</w:t>
      </w:r>
      <w:r w:rsidRPr="00904902">
        <w:t>eduction plan. This plan identifies City of Melbourne’s large events as a material emissions source which prompted the carbon neutral certification of this large event portfolio. This is the second consecutive year the portfolio has been certified carbon neutral.</w:t>
      </w:r>
    </w:p>
    <w:p w:rsidR="00667809" w:rsidRPr="00904902" w:rsidRDefault="00667809" w:rsidP="00667809">
      <w:pPr>
        <w:widowControl w:val="0"/>
        <w:tabs>
          <w:tab w:val="left" w:pos="822"/>
        </w:tabs>
        <w:spacing w:after="0"/>
        <w:ind w:right="-1"/>
      </w:pPr>
      <w:r w:rsidRPr="00904902">
        <w:t>Greenhouse gas emissions considered include carbon dioxide (CO2), methane (CH4), nitrous oxide (N20), hydrofluorocarbons (HFCs), perfluorocarbons (PFCs), sulphur hexafluoride (SF6) and nitrogen trifluoride (NF3).</w:t>
      </w:r>
    </w:p>
    <w:p w:rsidR="00667809" w:rsidRPr="00904902" w:rsidRDefault="00667809" w:rsidP="00667809">
      <w:pPr>
        <w:widowControl w:val="0"/>
        <w:tabs>
          <w:tab w:val="left" w:pos="822"/>
        </w:tabs>
        <w:spacing w:after="0"/>
        <w:ind w:right="-1"/>
      </w:pPr>
      <w:r w:rsidRPr="00904902">
        <w:t>The City of Melbourne has followed the Climate Active Carbon Neutral Standard for Events in the data collection and preparations of this report and used guiding Greenhouse Gas Protocol principles of; relevance, completeness, consistency, transparency and accuracy in the development of any new methodologies for this Large Event Portfolio.</w:t>
      </w:r>
    </w:p>
    <w:p w:rsidR="00667809" w:rsidRPr="00E96298" w:rsidRDefault="00667809" w:rsidP="00667809">
      <w:pPr>
        <w:pStyle w:val="Heading2"/>
        <w:rPr>
          <w:spacing w:val="-1"/>
        </w:rPr>
      </w:pPr>
      <w:bookmarkStart w:id="6" w:name="_Toc47885170"/>
      <w:r w:rsidRPr="00E96298">
        <w:rPr>
          <w:spacing w:val="-1"/>
        </w:rPr>
        <w:t>Changes since pre-event report</w:t>
      </w:r>
      <w:bookmarkEnd w:id="6"/>
      <w:r w:rsidRPr="00E96298">
        <w:rPr>
          <w:spacing w:val="-1"/>
        </w:rPr>
        <w:t xml:space="preserve"> </w:t>
      </w:r>
    </w:p>
    <w:p w:rsidR="00667809" w:rsidRDefault="00667809" w:rsidP="00E96298">
      <w:r w:rsidRPr="00904902">
        <w:t>Minimal changes have been made since the pre</w:t>
      </w:r>
      <w:r w:rsidRPr="00904902">
        <w:rPr>
          <w:rFonts w:ascii="Cambria Math" w:hAnsi="Cambria Math" w:cs="Cambria Math"/>
        </w:rPr>
        <w:t>‐</w:t>
      </w:r>
      <w:r w:rsidRPr="00904902">
        <w:t>event report and represent either an improvement in accounting accuracy or a substitution of missing data.</w:t>
      </w:r>
    </w:p>
    <w:p w:rsidR="00E96298" w:rsidRDefault="00E96298" w:rsidP="00E96298">
      <w:pPr>
        <w:pStyle w:val="Heading3"/>
      </w:pPr>
      <w:bookmarkStart w:id="7" w:name="_Toc38964317"/>
      <w:bookmarkStart w:id="8" w:name="_Toc47885171"/>
      <w:r w:rsidRPr="00E96298">
        <w:t>Table 1 Changes in reporting since the pre-event report</w:t>
      </w:r>
      <w:bookmarkEnd w:id="7"/>
      <w:bookmarkEnd w:id="8"/>
    </w:p>
    <w:p w:rsidR="00E96298" w:rsidRPr="00E96298" w:rsidRDefault="00E96298" w:rsidP="00E96298">
      <w:pPr>
        <w:rPr>
          <w:lang w:val="en-US"/>
        </w:rPr>
      </w:pPr>
      <w:r w:rsidRPr="007F354A">
        <w:t>Emissions source changes</w:t>
      </w:r>
    </w:p>
    <w:tbl>
      <w:tblPr>
        <w:tblStyle w:val="TableGrid"/>
        <w:tblW w:w="8647" w:type="dxa"/>
        <w:tblInd w:w="-5" w:type="dxa"/>
        <w:tblLook w:val="04A0" w:firstRow="1" w:lastRow="0" w:firstColumn="1" w:lastColumn="0" w:noHBand="0" w:noVBand="1"/>
      </w:tblPr>
      <w:tblGrid>
        <w:gridCol w:w="2948"/>
        <w:gridCol w:w="5699"/>
      </w:tblGrid>
      <w:tr w:rsidR="00667809" w:rsidRPr="008C6844" w:rsidTr="00902EE8">
        <w:trPr>
          <w:trHeight w:val="412"/>
          <w:tblHeader/>
        </w:trPr>
        <w:tc>
          <w:tcPr>
            <w:tcW w:w="2948" w:type="dxa"/>
            <w:shd w:val="clear" w:color="auto" w:fill="B8CCE4" w:themeFill="accent1" w:themeFillTint="66"/>
            <w:vAlign w:val="center"/>
          </w:tcPr>
          <w:p w:rsidR="00667809" w:rsidRPr="008C6844" w:rsidRDefault="00667809" w:rsidP="00667809">
            <w:pPr>
              <w:spacing w:before="120" w:after="120"/>
              <w:ind w:right="329"/>
              <w:rPr>
                <w:b/>
                <w:bCs/>
              </w:rPr>
            </w:pPr>
            <w:bookmarkStart w:id="9" w:name="ColumnTitle_2"/>
            <w:r w:rsidRPr="008C6844">
              <w:rPr>
                <w:b/>
                <w:bCs/>
              </w:rPr>
              <w:t>Type of change</w:t>
            </w:r>
          </w:p>
        </w:tc>
        <w:tc>
          <w:tcPr>
            <w:tcW w:w="5699" w:type="dxa"/>
            <w:shd w:val="clear" w:color="auto" w:fill="B8CCE4" w:themeFill="accent1" w:themeFillTint="66"/>
            <w:vAlign w:val="center"/>
          </w:tcPr>
          <w:p w:rsidR="00667809" w:rsidRPr="008C6844" w:rsidRDefault="00667809" w:rsidP="00667809">
            <w:pPr>
              <w:ind w:right="330"/>
              <w:rPr>
                <w:b/>
                <w:bCs/>
              </w:rPr>
            </w:pPr>
            <w:r w:rsidRPr="008C6844">
              <w:rPr>
                <w:b/>
                <w:bCs/>
              </w:rPr>
              <w:t>Comments</w:t>
            </w:r>
          </w:p>
        </w:tc>
      </w:tr>
      <w:bookmarkEnd w:id="9"/>
      <w:tr w:rsidR="00667809" w:rsidRPr="007924FD" w:rsidTr="00667809">
        <w:tc>
          <w:tcPr>
            <w:tcW w:w="2948" w:type="dxa"/>
            <w:vAlign w:val="center"/>
          </w:tcPr>
          <w:p w:rsidR="00667809" w:rsidRPr="007F354A" w:rsidRDefault="00667809" w:rsidP="00667809">
            <w:pPr>
              <w:spacing w:before="60" w:after="60"/>
              <w:ind w:left="57" w:right="57"/>
              <w:jc w:val="center"/>
            </w:pPr>
            <w:r w:rsidRPr="007F354A">
              <w:t xml:space="preserve">Florals </w:t>
            </w:r>
          </w:p>
        </w:tc>
        <w:tc>
          <w:tcPr>
            <w:tcW w:w="5699" w:type="dxa"/>
            <w:vAlign w:val="center"/>
          </w:tcPr>
          <w:p w:rsidR="00667809" w:rsidRPr="007F354A" w:rsidRDefault="00667809" w:rsidP="00667809">
            <w:pPr>
              <w:spacing w:before="60" w:after="60"/>
              <w:ind w:left="57" w:right="57"/>
            </w:pPr>
            <w:r w:rsidRPr="007F354A">
              <w:t>As fresh florals are a significant cost associated with Melbourne Fashion Week, for the first time data was collected regarding the origin and growing methods of florals.</w:t>
            </w:r>
          </w:p>
        </w:tc>
      </w:tr>
    </w:tbl>
    <w:p w:rsidR="00E96298" w:rsidRDefault="00E96298">
      <w:r>
        <w:t>Method Changes</w:t>
      </w:r>
    </w:p>
    <w:tbl>
      <w:tblPr>
        <w:tblStyle w:val="TableGrid"/>
        <w:tblW w:w="8647" w:type="dxa"/>
        <w:tblInd w:w="-5" w:type="dxa"/>
        <w:tblLook w:val="04A0" w:firstRow="1" w:lastRow="0" w:firstColumn="1" w:lastColumn="0" w:noHBand="0" w:noVBand="1"/>
      </w:tblPr>
      <w:tblGrid>
        <w:gridCol w:w="2948"/>
        <w:gridCol w:w="5699"/>
      </w:tblGrid>
      <w:tr w:rsidR="00E96298" w:rsidRPr="008C6844" w:rsidTr="00902EE8">
        <w:trPr>
          <w:trHeight w:val="412"/>
          <w:tblHeader/>
        </w:trPr>
        <w:tc>
          <w:tcPr>
            <w:tcW w:w="2948" w:type="dxa"/>
            <w:shd w:val="clear" w:color="auto" w:fill="B8CCE4" w:themeFill="accent1" w:themeFillTint="66"/>
            <w:vAlign w:val="center"/>
          </w:tcPr>
          <w:p w:rsidR="00E96298" w:rsidRPr="008C6844" w:rsidRDefault="00E96298" w:rsidP="00E96298">
            <w:pPr>
              <w:spacing w:before="120" w:after="120"/>
              <w:ind w:right="329"/>
              <w:rPr>
                <w:b/>
                <w:bCs/>
              </w:rPr>
            </w:pPr>
            <w:bookmarkStart w:id="10" w:name="ColumnTitle_3"/>
            <w:r w:rsidRPr="008C6844">
              <w:rPr>
                <w:b/>
                <w:bCs/>
              </w:rPr>
              <w:t>Type of change</w:t>
            </w:r>
          </w:p>
        </w:tc>
        <w:tc>
          <w:tcPr>
            <w:tcW w:w="5699" w:type="dxa"/>
            <w:shd w:val="clear" w:color="auto" w:fill="B8CCE4" w:themeFill="accent1" w:themeFillTint="66"/>
            <w:vAlign w:val="center"/>
          </w:tcPr>
          <w:p w:rsidR="00E96298" w:rsidRPr="008C6844" w:rsidRDefault="00E96298" w:rsidP="00E96298">
            <w:pPr>
              <w:ind w:right="330"/>
              <w:rPr>
                <w:b/>
                <w:bCs/>
              </w:rPr>
            </w:pPr>
            <w:r w:rsidRPr="008C6844">
              <w:rPr>
                <w:b/>
                <w:bCs/>
              </w:rPr>
              <w:t>Comments</w:t>
            </w:r>
          </w:p>
        </w:tc>
      </w:tr>
      <w:bookmarkEnd w:id="10"/>
      <w:tr w:rsidR="00667809" w:rsidRPr="007924FD" w:rsidTr="00667809">
        <w:tc>
          <w:tcPr>
            <w:tcW w:w="2948" w:type="dxa"/>
            <w:vAlign w:val="center"/>
          </w:tcPr>
          <w:p w:rsidR="00667809" w:rsidRPr="007F354A" w:rsidRDefault="00667809" w:rsidP="00667809">
            <w:pPr>
              <w:spacing w:before="60" w:after="60"/>
              <w:ind w:left="57" w:right="57"/>
              <w:jc w:val="center"/>
            </w:pPr>
            <w:r w:rsidRPr="007F354A">
              <w:t xml:space="preserve">Florals </w:t>
            </w:r>
            <w:r w:rsidRPr="007F354A">
              <w:br/>
            </w:r>
          </w:p>
        </w:tc>
        <w:tc>
          <w:tcPr>
            <w:tcW w:w="5699" w:type="dxa"/>
            <w:vAlign w:val="center"/>
          </w:tcPr>
          <w:p w:rsidR="00667809" w:rsidRPr="007F354A" w:rsidRDefault="00667809" w:rsidP="00667809">
            <w:pPr>
              <w:spacing w:before="60" w:after="60"/>
              <w:ind w:left="57" w:right="57"/>
            </w:pPr>
            <w:r w:rsidRPr="007F354A">
              <w:t xml:space="preserve">Using a United Kingdom Life Cycle Assessment (LCA) for local and internationally grown florals, a bespoke method for calculating floral emissions was created. This new method created six specific factors based on two key variables – freight and growing conditions which are the two material sources of emissions for floral production. The six specific factors are for florals grown; – Internationally outside (seasonal); internationally inside (hothouse); interstate outside; interstate inside; local outside and local inside. Average weight per stem was calculated from the LCA and conservative freight distances and cultivation energy factors were applied to derive the six factors. </w:t>
            </w:r>
          </w:p>
        </w:tc>
      </w:tr>
      <w:tr w:rsidR="00667809" w:rsidRPr="007924FD" w:rsidTr="00667809">
        <w:tc>
          <w:tcPr>
            <w:tcW w:w="2948" w:type="dxa"/>
            <w:vAlign w:val="center"/>
          </w:tcPr>
          <w:p w:rsidR="00667809" w:rsidRPr="007F354A" w:rsidRDefault="00667809" w:rsidP="00667809">
            <w:pPr>
              <w:spacing w:before="60" w:after="60"/>
              <w:ind w:left="57" w:right="57"/>
              <w:jc w:val="center"/>
            </w:pPr>
            <w:r w:rsidRPr="007F354A">
              <w:t>Transport Patron Attribution Factor: Vogue American Express Fashion Night Out (VAEFNO)</w:t>
            </w:r>
          </w:p>
        </w:tc>
        <w:tc>
          <w:tcPr>
            <w:tcW w:w="5699" w:type="dxa"/>
            <w:vAlign w:val="center"/>
          </w:tcPr>
          <w:p w:rsidR="00667809" w:rsidRPr="007F354A" w:rsidRDefault="00667809" w:rsidP="00667809">
            <w:pPr>
              <w:spacing w:before="60" w:after="60"/>
              <w:ind w:left="57" w:right="57"/>
            </w:pPr>
            <w:r w:rsidRPr="007F354A">
              <w:t xml:space="preserve">VAEFNO is a key partner which is aligned to run concurrently with Melbourne Fashion Week. A new cohort of attendees was calculated in 2019 which was derived from pedestrian traffic in key shopping precincts on the night of VAEFNO relative to a baseline day. As these ‘crowd count’ figures are used in Melbourne Fashion Week’s overall visitor figures, a 10% attribution figure for the transport emissions has been applied to this cohort. </w:t>
            </w:r>
          </w:p>
        </w:tc>
      </w:tr>
      <w:tr w:rsidR="00667809" w:rsidRPr="007924FD" w:rsidTr="00667809">
        <w:tc>
          <w:tcPr>
            <w:tcW w:w="2948" w:type="dxa"/>
            <w:vAlign w:val="center"/>
          </w:tcPr>
          <w:p w:rsidR="00667809" w:rsidRPr="007F354A" w:rsidRDefault="00667809" w:rsidP="00667809">
            <w:pPr>
              <w:spacing w:before="60" w:after="60"/>
              <w:ind w:left="57" w:right="57"/>
              <w:jc w:val="center"/>
            </w:pPr>
            <w:r w:rsidRPr="007F354A">
              <w:t>Solar Powered Trams</w:t>
            </w:r>
          </w:p>
        </w:tc>
        <w:tc>
          <w:tcPr>
            <w:tcW w:w="5699" w:type="dxa"/>
            <w:vAlign w:val="center"/>
          </w:tcPr>
          <w:p w:rsidR="00667809" w:rsidRPr="007F354A" w:rsidRDefault="00667809" w:rsidP="00667809">
            <w:pPr>
              <w:spacing w:before="60" w:after="60"/>
              <w:ind w:left="57" w:right="57"/>
            </w:pPr>
            <w:r w:rsidRPr="007F354A">
              <w:t>From July 2019 the Melbourne tram network is powered by renewable energy sourced from Numurkah solar farm. To reflect this zero emissions for</w:t>
            </w:r>
            <w:r>
              <w:t>m</w:t>
            </w:r>
            <w:r w:rsidRPr="007F354A">
              <w:t xml:space="preserve"> of transport, a 0.0 emissions factor has been applied to all attendee tram travel to Melbourne Fashion Week.</w:t>
            </w:r>
          </w:p>
        </w:tc>
      </w:tr>
    </w:tbl>
    <w:p w:rsidR="00E96298" w:rsidRDefault="00E96298">
      <w:r w:rsidRPr="007F354A">
        <w:t>Output changes (growth/decline)</w:t>
      </w:r>
    </w:p>
    <w:tbl>
      <w:tblPr>
        <w:tblStyle w:val="TableGrid"/>
        <w:tblW w:w="8647" w:type="dxa"/>
        <w:tblInd w:w="-5" w:type="dxa"/>
        <w:tblLook w:val="04A0" w:firstRow="1" w:lastRow="0" w:firstColumn="1" w:lastColumn="0" w:noHBand="0" w:noVBand="1"/>
      </w:tblPr>
      <w:tblGrid>
        <w:gridCol w:w="2948"/>
        <w:gridCol w:w="5699"/>
      </w:tblGrid>
      <w:tr w:rsidR="00E96298" w:rsidRPr="008C6844" w:rsidTr="00902EE8">
        <w:trPr>
          <w:trHeight w:val="412"/>
          <w:tblHeader/>
        </w:trPr>
        <w:tc>
          <w:tcPr>
            <w:tcW w:w="2948" w:type="dxa"/>
            <w:shd w:val="clear" w:color="auto" w:fill="B8CCE4" w:themeFill="accent1" w:themeFillTint="66"/>
            <w:vAlign w:val="center"/>
          </w:tcPr>
          <w:p w:rsidR="00E96298" w:rsidRPr="008C6844" w:rsidRDefault="00E96298" w:rsidP="00E96298">
            <w:pPr>
              <w:spacing w:before="120" w:after="120"/>
              <w:ind w:right="329"/>
              <w:rPr>
                <w:b/>
                <w:bCs/>
              </w:rPr>
            </w:pPr>
            <w:bookmarkStart w:id="11" w:name="ColumnTitle_4"/>
            <w:r w:rsidRPr="008C6844">
              <w:rPr>
                <w:b/>
                <w:bCs/>
              </w:rPr>
              <w:t>Type of change</w:t>
            </w:r>
          </w:p>
        </w:tc>
        <w:tc>
          <w:tcPr>
            <w:tcW w:w="5699" w:type="dxa"/>
            <w:shd w:val="clear" w:color="auto" w:fill="B8CCE4" w:themeFill="accent1" w:themeFillTint="66"/>
            <w:vAlign w:val="center"/>
          </w:tcPr>
          <w:p w:rsidR="00E96298" w:rsidRPr="008C6844" w:rsidRDefault="00E96298" w:rsidP="00E96298">
            <w:pPr>
              <w:ind w:right="330"/>
              <w:rPr>
                <w:b/>
                <w:bCs/>
              </w:rPr>
            </w:pPr>
            <w:r w:rsidRPr="008C6844">
              <w:rPr>
                <w:b/>
                <w:bCs/>
              </w:rPr>
              <w:t>Comments</w:t>
            </w:r>
          </w:p>
        </w:tc>
      </w:tr>
      <w:bookmarkEnd w:id="11"/>
      <w:tr w:rsidR="00667809" w:rsidRPr="007924FD" w:rsidTr="00667809">
        <w:trPr>
          <w:trHeight w:val="917"/>
        </w:trPr>
        <w:tc>
          <w:tcPr>
            <w:tcW w:w="2948" w:type="dxa"/>
            <w:vAlign w:val="center"/>
          </w:tcPr>
          <w:p w:rsidR="00667809" w:rsidRPr="007F354A" w:rsidRDefault="00667809" w:rsidP="00667809">
            <w:pPr>
              <w:spacing w:before="60" w:after="60"/>
              <w:ind w:left="57" w:right="57"/>
              <w:jc w:val="center"/>
            </w:pPr>
            <w:r w:rsidRPr="007F354A">
              <w:t>Patron numbers increase: VAEFNO</w:t>
            </w:r>
          </w:p>
        </w:tc>
        <w:tc>
          <w:tcPr>
            <w:tcW w:w="5699" w:type="dxa"/>
            <w:vAlign w:val="center"/>
          </w:tcPr>
          <w:p w:rsidR="00667809" w:rsidRPr="007F354A" w:rsidRDefault="00667809" w:rsidP="00667809">
            <w:pPr>
              <w:spacing w:before="60" w:after="60"/>
              <w:ind w:left="57" w:right="57"/>
            </w:pPr>
            <w:r w:rsidRPr="007F354A">
              <w:t>Due to the new cohort of attendees to VAEFNO (see above), there has been a significant increase in the reported number of attendees to Melbourne Fashion Week.</w:t>
            </w:r>
          </w:p>
        </w:tc>
      </w:tr>
      <w:tr w:rsidR="00667809" w:rsidRPr="009D7BA6" w:rsidTr="00667809">
        <w:tc>
          <w:tcPr>
            <w:tcW w:w="2948" w:type="dxa"/>
            <w:vAlign w:val="center"/>
          </w:tcPr>
          <w:p w:rsidR="00667809" w:rsidRPr="007F354A" w:rsidRDefault="00667809" w:rsidP="00667809">
            <w:pPr>
              <w:spacing w:before="60" w:after="60"/>
              <w:ind w:left="57" w:right="57"/>
              <w:jc w:val="center"/>
            </w:pPr>
            <w:r w:rsidRPr="007F354A">
              <w:rPr>
                <w:rFonts w:cs="Arial"/>
              </w:rPr>
              <w:t>Catering emissions</w:t>
            </w:r>
          </w:p>
        </w:tc>
        <w:tc>
          <w:tcPr>
            <w:tcW w:w="5699" w:type="dxa"/>
            <w:vAlign w:val="center"/>
          </w:tcPr>
          <w:p w:rsidR="00667809" w:rsidRPr="007F354A" w:rsidRDefault="00667809" w:rsidP="00667809">
            <w:pPr>
              <w:spacing w:before="60" w:after="60"/>
              <w:ind w:left="57" w:right="57"/>
            </w:pPr>
            <w:r w:rsidRPr="007F354A">
              <w:rPr>
                <w:rFonts w:cs="Arial"/>
              </w:rPr>
              <w:t>There has been a significant increase in the emissions attributed to food and beverage in 2019 compared to 2018. This is directly attributed to improved data collection in 2019. During 2018, the separately owned and run VAEFNO event did not provide MFW with any food and beverage data. For 2019 however MFW were successful in obtaining this data and have included it in this inventory.</w:t>
            </w:r>
          </w:p>
        </w:tc>
      </w:tr>
    </w:tbl>
    <w:p w:rsidR="00667809" w:rsidRPr="00E96298" w:rsidRDefault="00667809" w:rsidP="00667809">
      <w:pPr>
        <w:pStyle w:val="Heading2"/>
        <w:rPr>
          <w:spacing w:val="-1"/>
        </w:rPr>
      </w:pPr>
      <w:bookmarkStart w:id="12" w:name="_Toc47885172"/>
      <w:r w:rsidRPr="00E96298">
        <w:rPr>
          <w:spacing w:val="-1"/>
        </w:rPr>
        <w:t>Emissions reduction strategy</w:t>
      </w:r>
      <w:bookmarkEnd w:id="12"/>
    </w:p>
    <w:p w:rsidR="00667809" w:rsidRDefault="00667809" w:rsidP="00667809">
      <w:bookmarkStart w:id="13" w:name="3._Emissions_summary"/>
      <w:bookmarkEnd w:id="13"/>
      <w:r w:rsidRPr="00904902">
        <w:t>A number of emissions reduction activities were undertaken in the delivery of Melbourne Fashion Week 2019. It was not possible to accurately represent emissions reductions for every activity as other factors may have resulted in emissions increases within a particular emissions category. Where possible however, individually quantified emissions reductions have been calculated and reported in the table below</w:t>
      </w:r>
      <w:r>
        <w:t xml:space="preserve">. </w:t>
      </w:r>
    </w:p>
    <w:p w:rsidR="00667809" w:rsidRDefault="00667809" w:rsidP="00667809">
      <w:r>
        <w:t>Future emissions reduction opportunities that are being explored in planning for Melbourne Fashion Week 2020 are: Greater proportion of vegetarian food; promotion of tram travel (run on renewable energy) to attendees; contract clauses which require partners/agencies to offset flights at the point of purchase; continue working with contractors to eliminate construction/theming waste.</w:t>
      </w:r>
    </w:p>
    <w:p w:rsidR="00E96298" w:rsidRPr="00E96298" w:rsidRDefault="00E96298" w:rsidP="00E96298">
      <w:pPr>
        <w:pStyle w:val="Heading3"/>
      </w:pPr>
      <w:bookmarkStart w:id="14" w:name="_Toc47885173"/>
      <w:r w:rsidRPr="00E96298">
        <w:t>Table 2 Emissions reduction measures implemented in the current certification period</w:t>
      </w:r>
      <w:bookmarkEnd w:id="14"/>
    </w:p>
    <w:tbl>
      <w:tblPr>
        <w:tblW w:w="86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1"/>
        <w:gridCol w:w="3402"/>
        <w:gridCol w:w="992"/>
        <w:gridCol w:w="1417"/>
        <w:gridCol w:w="1276"/>
      </w:tblGrid>
      <w:tr w:rsidR="00667809" w:rsidRPr="008C6844" w:rsidTr="00902EE8">
        <w:trPr>
          <w:trHeight w:hRule="exact" w:val="1226"/>
          <w:tblHeader/>
        </w:trPr>
        <w:tc>
          <w:tcPr>
            <w:tcW w:w="1571" w:type="dxa"/>
            <w:shd w:val="clear" w:color="auto" w:fill="DBE5F1" w:themeFill="accent1" w:themeFillTint="33"/>
            <w:vAlign w:val="center"/>
          </w:tcPr>
          <w:p w:rsidR="00667809" w:rsidRPr="008C6844" w:rsidRDefault="00667809" w:rsidP="008C6844">
            <w:pPr>
              <w:pStyle w:val="TableofFigures"/>
              <w:rPr>
                <w:rFonts w:eastAsia="Calibri" w:cs="Calibri"/>
                <w:b/>
                <w:bCs/>
              </w:rPr>
            </w:pPr>
            <w:bookmarkStart w:id="15" w:name="ColumnTitle_5"/>
            <w:r w:rsidRPr="008C6844">
              <w:rPr>
                <w:b/>
                <w:bCs/>
              </w:rPr>
              <w:t>Emission source</w:t>
            </w:r>
          </w:p>
        </w:tc>
        <w:tc>
          <w:tcPr>
            <w:tcW w:w="3402"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Reduction measure and calculation method</w:t>
            </w:r>
          </w:p>
        </w:tc>
        <w:tc>
          <w:tcPr>
            <w:tcW w:w="992"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Scope</w:t>
            </w:r>
          </w:p>
        </w:tc>
        <w:tc>
          <w:tcPr>
            <w:tcW w:w="1417"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Status</w:t>
            </w:r>
          </w:p>
        </w:tc>
        <w:tc>
          <w:tcPr>
            <w:tcW w:w="1276"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Reduction t CO</w:t>
            </w:r>
            <w:r w:rsidRPr="008C6844">
              <w:rPr>
                <w:b/>
                <w:bCs/>
                <w:position w:val="-2"/>
              </w:rPr>
              <w:t>2</w:t>
            </w:r>
            <w:r w:rsidRPr="008C6844">
              <w:rPr>
                <w:b/>
                <w:bCs/>
              </w:rPr>
              <w:t>-e</w:t>
            </w:r>
          </w:p>
        </w:tc>
      </w:tr>
      <w:bookmarkEnd w:id="15"/>
      <w:tr w:rsidR="00667809" w:rsidRPr="007924FD" w:rsidTr="00667809">
        <w:trPr>
          <w:trHeight w:val="1306"/>
        </w:trPr>
        <w:tc>
          <w:tcPr>
            <w:tcW w:w="1571" w:type="dxa"/>
            <w:vAlign w:val="center"/>
          </w:tcPr>
          <w:p w:rsidR="00667809" w:rsidRPr="007F354A" w:rsidRDefault="00667809" w:rsidP="00667809">
            <w:pPr>
              <w:spacing w:before="60" w:after="60"/>
              <w:ind w:left="57" w:right="113"/>
              <w:jc w:val="center"/>
            </w:pPr>
            <w:r w:rsidRPr="007F354A">
              <w:t>Catering – Food</w:t>
            </w:r>
          </w:p>
        </w:tc>
        <w:tc>
          <w:tcPr>
            <w:tcW w:w="3402" w:type="dxa"/>
            <w:vAlign w:val="center"/>
          </w:tcPr>
          <w:p w:rsidR="00667809" w:rsidRPr="007F354A" w:rsidRDefault="00667809" w:rsidP="00667809">
            <w:pPr>
              <w:spacing w:before="60" w:after="60"/>
              <w:ind w:left="57" w:right="113"/>
            </w:pPr>
            <w:r w:rsidRPr="007F354A">
              <w:t>A higher proportion of vegetarian food was served in both the volunteer catering and in the VIP catering for Melbourne Fashion Week. Calculated by multiplying the emissions per attendee saving be</w:t>
            </w:r>
            <w:r>
              <w:t>tween 2018 and 2019 inventories.</w:t>
            </w:r>
          </w:p>
        </w:tc>
        <w:tc>
          <w:tcPr>
            <w:tcW w:w="992" w:type="dxa"/>
            <w:vAlign w:val="center"/>
          </w:tcPr>
          <w:p w:rsidR="00667809" w:rsidRPr="007F354A" w:rsidRDefault="00667809" w:rsidP="00667809">
            <w:pPr>
              <w:spacing w:before="60" w:after="60"/>
              <w:ind w:left="57" w:right="113"/>
            </w:pPr>
            <w:r w:rsidRPr="007F354A">
              <w:t>3</w:t>
            </w:r>
          </w:p>
        </w:tc>
        <w:tc>
          <w:tcPr>
            <w:tcW w:w="1417" w:type="dxa"/>
            <w:vAlign w:val="center"/>
          </w:tcPr>
          <w:p w:rsidR="00667809" w:rsidRPr="007F354A" w:rsidRDefault="00667809" w:rsidP="00667809">
            <w:pPr>
              <w:spacing w:before="60" w:after="60"/>
              <w:ind w:left="57" w:right="113"/>
            </w:pPr>
            <w:r w:rsidRPr="007F354A">
              <w:t>Achieved</w:t>
            </w:r>
          </w:p>
        </w:tc>
        <w:tc>
          <w:tcPr>
            <w:tcW w:w="1276" w:type="dxa"/>
            <w:vAlign w:val="center"/>
          </w:tcPr>
          <w:p w:rsidR="00667809" w:rsidRPr="007F354A" w:rsidRDefault="00667809" w:rsidP="00667809">
            <w:pPr>
              <w:spacing w:before="60" w:after="60"/>
              <w:ind w:left="57" w:right="113"/>
              <w:contextualSpacing/>
            </w:pPr>
            <w:r w:rsidRPr="007F354A">
              <w:t>23.5</w:t>
            </w:r>
            <w:r w:rsidRPr="007F354A">
              <w:rPr>
                <w:rStyle w:val="FootnoteReference"/>
                <w:sz w:val="22"/>
              </w:rPr>
              <w:footnoteReference w:id="1"/>
            </w:r>
          </w:p>
        </w:tc>
      </w:tr>
      <w:tr w:rsidR="00667809" w:rsidRPr="007924FD" w:rsidTr="00667809">
        <w:trPr>
          <w:trHeight w:val="1524"/>
        </w:trPr>
        <w:tc>
          <w:tcPr>
            <w:tcW w:w="1571" w:type="dxa"/>
            <w:vAlign w:val="center"/>
          </w:tcPr>
          <w:p w:rsidR="00667809" w:rsidRPr="007F354A" w:rsidRDefault="00667809" w:rsidP="00667809">
            <w:pPr>
              <w:spacing w:before="60" w:after="60"/>
              <w:ind w:left="57" w:right="113"/>
              <w:jc w:val="center"/>
            </w:pPr>
            <w:r w:rsidRPr="007F354A">
              <w:t>Flights</w:t>
            </w:r>
          </w:p>
        </w:tc>
        <w:tc>
          <w:tcPr>
            <w:tcW w:w="3402" w:type="dxa"/>
            <w:vAlign w:val="center"/>
          </w:tcPr>
          <w:p w:rsidR="00667809" w:rsidRPr="007F354A" w:rsidRDefault="00667809" w:rsidP="00667809">
            <w:pPr>
              <w:spacing w:before="60" w:after="60"/>
              <w:ind w:left="57" w:right="113"/>
            </w:pPr>
            <w:r w:rsidRPr="007F354A">
              <w:t>Model agencies and commercial partners were encouraged to offset their flights at the point of booking for Melbourne Fashion Week. Emissions reductions calculated from air miles that wer</w:t>
            </w:r>
            <w:r>
              <w:t>e offset by commercial partner.</w:t>
            </w:r>
          </w:p>
        </w:tc>
        <w:tc>
          <w:tcPr>
            <w:tcW w:w="992" w:type="dxa"/>
            <w:vAlign w:val="center"/>
          </w:tcPr>
          <w:p w:rsidR="00667809" w:rsidRPr="007F354A" w:rsidRDefault="00667809" w:rsidP="00667809">
            <w:pPr>
              <w:spacing w:before="60" w:after="60"/>
              <w:ind w:left="57" w:right="113"/>
            </w:pPr>
            <w:r w:rsidRPr="007F354A">
              <w:t>3</w:t>
            </w:r>
          </w:p>
        </w:tc>
        <w:tc>
          <w:tcPr>
            <w:tcW w:w="1417" w:type="dxa"/>
            <w:vAlign w:val="center"/>
          </w:tcPr>
          <w:p w:rsidR="00667809" w:rsidRPr="007F354A" w:rsidRDefault="00667809" w:rsidP="00667809">
            <w:pPr>
              <w:spacing w:before="60" w:after="60"/>
              <w:ind w:left="57" w:right="113"/>
            </w:pPr>
            <w:r w:rsidRPr="007F354A">
              <w:t>Achieved</w:t>
            </w:r>
          </w:p>
        </w:tc>
        <w:tc>
          <w:tcPr>
            <w:tcW w:w="1276" w:type="dxa"/>
            <w:vAlign w:val="center"/>
          </w:tcPr>
          <w:p w:rsidR="00667809" w:rsidRPr="007F354A" w:rsidRDefault="00667809" w:rsidP="00667809">
            <w:pPr>
              <w:spacing w:before="60" w:after="60"/>
              <w:ind w:left="57" w:right="113"/>
              <w:contextualSpacing/>
            </w:pPr>
            <w:r w:rsidRPr="007F354A">
              <w:t>48.7</w:t>
            </w:r>
            <w:r w:rsidRPr="007F354A">
              <w:rPr>
                <w:rStyle w:val="FootnoteReference"/>
                <w:sz w:val="22"/>
              </w:rPr>
              <w:footnoteReference w:id="2"/>
            </w:r>
          </w:p>
        </w:tc>
      </w:tr>
      <w:tr w:rsidR="00667809" w:rsidRPr="007924FD" w:rsidTr="00667809">
        <w:tc>
          <w:tcPr>
            <w:tcW w:w="1571" w:type="dxa"/>
            <w:vAlign w:val="center"/>
          </w:tcPr>
          <w:p w:rsidR="00667809" w:rsidRPr="007F354A" w:rsidRDefault="00667809" w:rsidP="00667809">
            <w:pPr>
              <w:spacing w:before="60" w:after="60"/>
              <w:ind w:left="57" w:right="113"/>
              <w:jc w:val="center"/>
            </w:pPr>
            <w:r w:rsidRPr="007F354A">
              <w:t>Landfill Waste</w:t>
            </w:r>
          </w:p>
        </w:tc>
        <w:tc>
          <w:tcPr>
            <w:tcW w:w="3402" w:type="dxa"/>
            <w:vAlign w:val="center"/>
          </w:tcPr>
          <w:p w:rsidR="00667809" w:rsidRPr="007F354A" w:rsidRDefault="00667809" w:rsidP="00667809">
            <w:pPr>
              <w:autoSpaceDE w:val="0"/>
              <w:autoSpaceDN w:val="0"/>
              <w:adjustRightInd w:val="0"/>
              <w:rPr>
                <w:rFonts w:ascii="Calibri" w:hAnsi="Calibri" w:cs="Calibri"/>
              </w:rPr>
            </w:pPr>
            <w:r>
              <w:rPr>
                <w:rFonts w:ascii="Calibri" w:hAnsi="Calibri" w:cs="Calibri"/>
              </w:rPr>
              <w:t>Key staff responsible for waste management, procurement and sponsorship were</w:t>
            </w:r>
            <w:r w:rsidRPr="007F354A">
              <w:rPr>
                <w:rFonts w:ascii="Calibri" w:hAnsi="Calibri" w:cs="Calibri"/>
              </w:rPr>
              <w:t xml:space="preserve"> given guidance on how to drive waste minimisation and improved recycling - in particular how to identify and reduce unnecessary single use plastic items</w:t>
            </w:r>
            <w:r>
              <w:rPr>
                <w:rFonts w:ascii="Calibri" w:hAnsi="Calibri" w:cs="Calibri"/>
              </w:rPr>
              <w:t>.</w:t>
            </w:r>
          </w:p>
        </w:tc>
        <w:tc>
          <w:tcPr>
            <w:tcW w:w="992" w:type="dxa"/>
            <w:vAlign w:val="center"/>
          </w:tcPr>
          <w:p w:rsidR="00667809" w:rsidRPr="007F354A" w:rsidRDefault="00667809" w:rsidP="00667809">
            <w:pPr>
              <w:spacing w:before="60" w:after="60"/>
              <w:ind w:left="57" w:right="113"/>
            </w:pPr>
            <w:r w:rsidRPr="007F354A">
              <w:t>3</w:t>
            </w:r>
          </w:p>
        </w:tc>
        <w:tc>
          <w:tcPr>
            <w:tcW w:w="1417" w:type="dxa"/>
            <w:vAlign w:val="center"/>
          </w:tcPr>
          <w:p w:rsidR="00667809" w:rsidRPr="007F354A" w:rsidRDefault="00667809" w:rsidP="00667809">
            <w:pPr>
              <w:spacing w:before="60" w:after="60"/>
              <w:ind w:left="57" w:right="113"/>
            </w:pPr>
            <w:r w:rsidRPr="007F354A">
              <w:t>Achieved/on going</w:t>
            </w:r>
          </w:p>
        </w:tc>
        <w:tc>
          <w:tcPr>
            <w:tcW w:w="1276" w:type="dxa"/>
            <w:vAlign w:val="center"/>
          </w:tcPr>
          <w:p w:rsidR="00667809" w:rsidRPr="007F354A" w:rsidRDefault="00667809" w:rsidP="00667809">
            <w:pPr>
              <w:spacing w:before="60" w:after="60"/>
              <w:ind w:left="57" w:right="113"/>
              <w:contextualSpacing/>
            </w:pPr>
            <w:r w:rsidRPr="007F354A">
              <w:t>Not quantified</w:t>
            </w:r>
          </w:p>
        </w:tc>
      </w:tr>
      <w:tr w:rsidR="00667809" w:rsidRPr="007924FD" w:rsidTr="00667809">
        <w:tc>
          <w:tcPr>
            <w:tcW w:w="1571" w:type="dxa"/>
            <w:vAlign w:val="center"/>
          </w:tcPr>
          <w:p w:rsidR="00667809" w:rsidRPr="007F354A" w:rsidRDefault="00667809" w:rsidP="00667809">
            <w:pPr>
              <w:spacing w:before="60" w:after="60"/>
              <w:ind w:left="57" w:right="113"/>
              <w:jc w:val="center"/>
            </w:pPr>
            <w:r w:rsidRPr="007F354A">
              <w:t xml:space="preserve">Transport - </w:t>
            </w:r>
            <w:r w:rsidRPr="007F354A">
              <w:rPr>
                <w:rFonts w:ascii="Calibri" w:hAnsi="Calibri" w:cs="Calibri"/>
              </w:rPr>
              <w:t>Car/Taxi/Uber</w:t>
            </w:r>
          </w:p>
        </w:tc>
        <w:tc>
          <w:tcPr>
            <w:tcW w:w="3402" w:type="dxa"/>
            <w:vAlign w:val="center"/>
          </w:tcPr>
          <w:p w:rsidR="00667809" w:rsidRPr="007F354A" w:rsidRDefault="00667809" w:rsidP="00667809">
            <w:pPr>
              <w:spacing w:before="60" w:after="60"/>
              <w:ind w:left="57" w:right="113"/>
            </w:pPr>
            <w:r w:rsidRPr="007F354A">
              <w:t>Melbourne Fashion Week attendees were encouraged through event communications to use public transport, walk or ride instead of driving to reduce their environmental impact</w:t>
            </w:r>
            <w:r>
              <w:t>.</w:t>
            </w:r>
          </w:p>
        </w:tc>
        <w:tc>
          <w:tcPr>
            <w:tcW w:w="992" w:type="dxa"/>
            <w:vAlign w:val="center"/>
          </w:tcPr>
          <w:p w:rsidR="00667809" w:rsidRPr="007F354A" w:rsidRDefault="00667809" w:rsidP="00667809">
            <w:pPr>
              <w:spacing w:before="60" w:after="60"/>
              <w:ind w:left="57" w:right="113"/>
            </w:pPr>
            <w:r w:rsidRPr="007F354A">
              <w:t>3</w:t>
            </w:r>
          </w:p>
        </w:tc>
        <w:tc>
          <w:tcPr>
            <w:tcW w:w="1417" w:type="dxa"/>
            <w:vAlign w:val="center"/>
          </w:tcPr>
          <w:p w:rsidR="00667809" w:rsidRPr="007F354A" w:rsidRDefault="00667809" w:rsidP="00667809">
            <w:pPr>
              <w:spacing w:before="60" w:after="60"/>
              <w:ind w:left="57" w:right="113"/>
            </w:pPr>
            <w:r w:rsidRPr="007F354A">
              <w:t>Achieved/on going</w:t>
            </w:r>
          </w:p>
        </w:tc>
        <w:tc>
          <w:tcPr>
            <w:tcW w:w="1276" w:type="dxa"/>
            <w:vAlign w:val="center"/>
          </w:tcPr>
          <w:p w:rsidR="00667809" w:rsidRPr="007F354A" w:rsidRDefault="00667809" w:rsidP="00667809">
            <w:pPr>
              <w:spacing w:before="60" w:after="60"/>
              <w:ind w:left="57" w:right="113"/>
              <w:contextualSpacing/>
            </w:pPr>
            <w:r w:rsidRPr="007F354A">
              <w:t>Not quantified</w:t>
            </w:r>
          </w:p>
        </w:tc>
      </w:tr>
    </w:tbl>
    <w:p w:rsidR="00D46B11" w:rsidRDefault="00D46B11" w:rsidP="00667809">
      <w:r w:rsidRPr="00675C3A">
        <w:rPr>
          <w:b/>
        </w:rPr>
        <w:t>Total emission reductions implemented in this certification period</w:t>
      </w:r>
      <w:r w:rsidRPr="00675C3A">
        <w:t xml:space="preserve"> (t CO</w:t>
      </w:r>
      <w:r w:rsidRPr="00675C3A">
        <w:rPr>
          <w:vertAlign w:val="subscript"/>
        </w:rPr>
        <w:t>2</w:t>
      </w:r>
      <w:r w:rsidRPr="00675C3A">
        <w:t>-e)</w:t>
      </w:r>
      <w:r>
        <w:t xml:space="preserve"> 72.2</w:t>
      </w:r>
    </w:p>
    <w:p w:rsidR="00667809" w:rsidRPr="00524A3F" w:rsidRDefault="00667809" w:rsidP="00667809">
      <w:pPr>
        <w:rPr>
          <w:rFonts w:asciiTheme="majorHAnsi" w:eastAsiaTheme="majorEastAsia" w:hAnsiTheme="majorHAnsi" w:cstheme="majorBidi"/>
          <w:sz w:val="26"/>
          <w:szCs w:val="26"/>
        </w:rPr>
      </w:pPr>
      <w:r>
        <w:br w:type="page"/>
      </w:r>
    </w:p>
    <w:p w:rsidR="00667809" w:rsidRPr="007613F7" w:rsidRDefault="00667809" w:rsidP="00667809">
      <w:pPr>
        <w:pStyle w:val="Heading1"/>
        <w:rPr>
          <w:spacing w:val="-1"/>
          <w:szCs w:val="28"/>
        </w:rPr>
      </w:pPr>
      <w:bookmarkStart w:id="16" w:name="_Toc47885174"/>
      <w:r w:rsidRPr="007613F7">
        <w:rPr>
          <w:spacing w:val="-1"/>
          <w:szCs w:val="28"/>
        </w:rPr>
        <w:t>Emission Boundary</w:t>
      </w:r>
      <w:bookmarkEnd w:id="16"/>
    </w:p>
    <w:p w:rsidR="00667809" w:rsidRDefault="00667809" w:rsidP="00667809">
      <w:pPr>
        <w:pStyle w:val="Heading2"/>
        <w:rPr>
          <w:spacing w:val="-1"/>
        </w:rPr>
      </w:pPr>
      <w:bookmarkStart w:id="17" w:name="_Toc47885175"/>
      <w:r w:rsidRPr="00D46B11">
        <w:rPr>
          <w:spacing w:val="-1"/>
        </w:rPr>
        <w:t>Diagram of the certification boundary</w:t>
      </w:r>
      <w:bookmarkEnd w:id="17"/>
    </w:p>
    <w:tbl>
      <w:tblPr>
        <w:tblStyle w:val="TableGrid"/>
        <w:tblW w:w="0" w:type="auto"/>
        <w:tblLook w:val="04A0" w:firstRow="1" w:lastRow="0" w:firstColumn="1" w:lastColumn="0" w:noHBand="0" w:noVBand="1"/>
      </w:tblPr>
      <w:tblGrid>
        <w:gridCol w:w="3209"/>
        <w:gridCol w:w="3209"/>
        <w:gridCol w:w="3210"/>
      </w:tblGrid>
      <w:tr w:rsidR="00D46B11" w:rsidRPr="00D46B11" w:rsidTr="00902EE8">
        <w:trPr>
          <w:tblHeader/>
        </w:trPr>
        <w:tc>
          <w:tcPr>
            <w:tcW w:w="3209" w:type="dxa"/>
          </w:tcPr>
          <w:p w:rsidR="00D46B11" w:rsidRPr="00D46B11" w:rsidRDefault="00D46B11" w:rsidP="00D46B11">
            <w:pPr>
              <w:pStyle w:val="Subtitle2"/>
              <w:jc w:val="center"/>
            </w:pPr>
            <w:bookmarkStart w:id="18" w:name="ColumnTitle_6"/>
            <w:r w:rsidRPr="00D46B11">
              <w:t>Quantified</w:t>
            </w:r>
          </w:p>
        </w:tc>
        <w:tc>
          <w:tcPr>
            <w:tcW w:w="3209" w:type="dxa"/>
          </w:tcPr>
          <w:p w:rsidR="00D46B11" w:rsidRPr="00D46B11" w:rsidRDefault="00D46B11" w:rsidP="00D46B11">
            <w:pPr>
              <w:pStyle w:val="Subtitle2"/>
              <w:jc w:val="center"/>
            </w:pPr>
            <w:r w:rsidRPr="00D46B11">
              <w:t>Non-Quantified</w:t>
            </w:r>
          </w:p>
        </w:tc>
        <w:tc>
          <w:tcPr>
            <w:tcW w:w="3210" w:type="dxa"/>
          </w:tcPr>
          <w:p w:rsidR="00D46B11" w:rsidRPr="00D46B11" w:rsidRDefault="00D46B11" w:rsidP="00D46B11">
            <w:pPr>
              <w:pStyle w:val="Subtitle2"/>
              <w:jc w:val="center"/>
            </w:pPr>
            <w:r w:rsidRPr="00D46B11">
              <w:t>Excluded</w:t>
            </w:r>
          </w:p>
        </w:tc>
      </w:tr>
      <w:bookmarkEnd w:id="18"/>
      <w:tr w:rsidR="00D46B11" w:rsidTr="00D46B11">
        <w:tc>
          <w:tcPr>
            <w:tcW w:w="3209" w:type="dxa"/>
          </w:tcPr>
          <w:p w:rsidR="00D46B11" w:rsidRDefault="00D46B11" w:rsidP="00D46B11">
            <w:pPr>
              <w:pStyle w:val="ListBullet"/>
            </w:pPr>
            <w:r w:rsidRPr="00F128C4">
              <w:t xml:space="preserve">Electricity </w:t>
            </w:r>
          </w:p>
          <w:p w:rsidR="00D46B11" w:rsidRDefault="00D46B11" w:rsidP="00D46B11">
            <w:pPr>
              <w:pStyle w:val="ListBullet"/>
            </w:pPr>
            <w:r>
              <w:t xml:space="preserve">Gas </w:t>
            </w:r>
          </w:p>
          <w:p w:rsidR="00D46B11" w:rsidRDefault="00D46B11" w:rsidP="00D46B11">
            <w:pPr>
              <w:pStyle w:val="ListBullet"/>
            </w:pPr>
            <w:r>
              <w:t>Diesel F</w:t>
            </w:r>
            <w:r w:rsidRPr="00A31036">
              <w:t>uel</w:t>
            </w:r>
          </w:p>
          <w:p w:rsidR="00D46B11" w:rsidRDefault="00D46B11" w:rsidP="00D46B11">
            <w:pPr>
              <w:pStyle w:val="ListBullet"/>
            </w:pPr>
            <w:r w:rsidRPr="00A31036">
              <w:t>Attendee Travel</w:t>
            </w:r>
            <w:r>
              <w:t xml:space="preserve"> (ground transport)</w:t>
            </w:r>
          </w:p>
          <w:p w:rsidR="00D46B11" w:rsidRDefault="00D46B11" w:rsidP="00D46B11">
            <w:pPr>
              <w:pStyle w:val="ListBullet"/>
            </w:pPr>
            <w:r w:rsidRPr="00A31036">
              <w:t xml:space="preserve">Participant Travel (flights) </w:t>
            </w:r>
          </w:p>
          <w:p w:rsidR="00D46B11" w:rsidRDefault="00D46B11" w:rsidP="00D46B11">
            <w:pPr>
              <w:pStyle w:val="ListBullet"/>
            </w:pPr>
            <w:r w:rsidRPr="00A31036">
              <w:rPr>
                <w:rFonts w:hAnsiTheme="minorHAnsi"/>
                <w:sz w:val="22"/>
              </w:rPr>
              <w:t xml:space="preserve">Participant </w:t>
            </w:r>
            <w:r w:rsidRPr="00A31036">
              <w:t xml:space="preserve">Accommodation </w:t>
            </w:r>
          </w:p>
          <w:p w:rsidR="00D46B11" w:rsidRDefault="00D46B11" w:rsidP="00D46B11">
            <w:pPr>
              <w:pStyle w:val="ListBullet"/>
            </w:pPr>
            <w:r>
              <w:t>Food and D</w:t>
            </w:r>
            <w:r w:rsidRPr="00A31036">
              <w:t>rink</w:t>
            </w:r>
          </w:p>
          <w:p w:rsidR="00D46B11" w:rsidRDefault="00D46B11" w:rsidP="00D46B11">
            <w:pPr>
              <w:pStyle w:val="ListBullet"/>
            </w:pPr>
            <w:r w:rsidRPr="00A31036">
              <w:t>Food Waste</w:t>
            </w:r>
          </w:p>
          <w:p w:rsidR="00D46B11" w:rsidRDefault="00D46B11" w:rsidP="00D46B11">
            <w:pPr>
              <w:pStyle w:val="ListBullet"/>
            </w:pPr>
            <w:r>
              <w:t>General Waste</w:t>
            </w:r>
          </w:p>
          <w:p w:rsidR="00D46B11" w:rsidRDefault="00D46B11" w:rsidP="00D46B11">
            <w:pPr>
              <w:pStyle w:val="ListBullet"/>
            </w:pPr>
            <w:r>
              <w:t>Construction Waste</w:t>
            </w:r>
          </w:p>
          <w:p w:rsidR="00D46B11" w:rsidRDefault="00D46B11" w:rsidP="00D46B11">
            <w:pPr>
              <w:pStyle w:val="ListBullet"/>
            </w:pPr>
            <w:r>
              <w:t>Construction Materials</w:t>
            </w:r>
            <w:r w:rsidRPr="00A31036">
              <w:t xml:space="preserve"> </w:t>
            </w:r>
          </w:p>
          <w:p w:rsidR="00D46B11" w:rsidRPr="00A31036" w:rsidRDefault="00D46B11" w:rsidP="00D46B11">
            <w:pPr>
              <w:pStyle w:val="ListBullet"/>
            </w:pPr>
            <w:r>
              <w:t>Marketing Materials</w:t>
            </w:r>
          </w:p>
          <w:p w:rsidR="00D46B11" w:rsidRDefault="00D46B11" w:rsidP="00D46B11">
            <w:pPr>
              <w:pStyle w:val="ListBullet"/>
            </w:pPr>
            <w:r>
              <w:t>Florals</w:t>
            </w:r>
          </w:p>
          <w:p w:rsidR="00D46B11" w:rsidRDefault="00D46B11" w:rsidP="00D46B11">
            <w:pPr>
              <w:pStyle w:val="ListBullet"/>
            </w:pPr>
            <w:r>
              <w:t>Tier Three Events</w:t>
            </w:r>
          </w:p>
        </w:tc>
        <w:tc>
          <w:tcPr>
            <w:tcW w:w="3209" w:type="dxa"/>
          </w:tcPr>
          <w:p w:rsidR="00D46B11" w:rsidRDefault="00D46B11" w:rsidP="00D46B11">
            <w:pPr>
              <w:rPr>
                <w:lang w:val="en-US"/>
              </w:rPr>
            </w:pPr>
          </w:p>
        </w:tc>
        <w:tc>
          <w:tcPr>
            <w:tcW w:w="3210" w:type="dxa"/>
          </w:tcPr>
          <w:p w:rsidR="00D46B11" w:rsidRDefault="00D46B11" w:rsidP="00D46B11">
            <w:pPr>
              <w:pStyle w:val="ListBullet"/>
            </w:pPr>
            <w:r>
              <w:t>Contractor Vehicle Use</w:t>
            </w:r>
          </w:p>
          <w:p w:rsidR="00D46B11" w:rsidRDefault="00D46B11" w:rsidP="00D46B11">
            <w:pPr>
              <w:pStyle w:val="ListBullet"/>
            </w:pPr>
            <w:r>
              <w:t>Attendee Accommodation</w:t>
            </w:r>
          </w:p>
          <w:p w:rsidR="00D46B11" w:rsidRDefault="00D46B11" w:rsidP="00D46B11">
            <w:pPr>
              <w:pStyle w:val="ListBullet"/>
            </w:pPr>
            <w:r>
              <w:t>Warehouse Electricity Use</w:t>
            </w:r>
          </w:p>
          <w:p w:rsidR="00D46B11" w:rsidRDefault="00D46B11" w:rsidP="00D46B11">
            <w:pPr>
              <w:pStyle w:val="ListBullet"/>
            </w:pPr>
            <w:r>
              <w:t>Cleaning Services</w:t>
            </w:r>
          </w:p>
          <w:p w:rsidR="00D46B11" w:rsidRDefault="00D46B11" w:rsidP="00D46B11">
            <w:pPr>
              <w:pStyle w:val="ListBullet"/>
            </w:pPr>
            <w:r>
              <w:t>Staging/Equipment/Lighting Hire</w:t>
            </w:r>
          </w:p>
          <w:p w:rsidR="00D46B11" w:rsidRPr="00D46B11" w:rsidRDefault="00D46B11" w:rsidP="00D46B11">
            <w:pPr>
              <w:pStyle w:val="ListBullet"/>
            </w:pPr>
            <w:r>
              <w:t>Office</w:t>
            </w:r>
          </w:p>
          <w:p w:rsidR="00D46B11" w:rsidRPr="00D46B11" w:rsidRDefault="00D46B11" w:rsidP="00D46B11">
            <w:pPr>
              <w:pStyle w:val="ListBullet"/>
            </w:pPr>
            <w:r>
              <w:t>-Based Event Preparation Activities</w:t>
            </w:r>
          </w:p>
        </w:tc>
      </w:tr>
    </w:tbl>
    <w:p w:rsidR="00667809" w:rsidRDefault="00667809" w:rsidP="00667809">
      <w:r w:rsidRPr="000557FF">
        <w:t xml:space="preserve"> </w:t>
      </w:r>
      <w:r>
        <w:br w:type="page"/>
      </w:r>
    </w:p>
    <w:p w:rsidR="00667809" w:rsidRPr="00D46B11" w:rsidRDefault="00667809" w:rsidP="00667809">
      <w:pPr>
        <w:pStyle w:val="Heading2"/>
        <w:spacing w:after="240"/>
        <w:rPr>
          <w:spacing w:val="-1"/>
        </w:rPr>
      </w:pPr>
      <w:bookmarkStart w:id="19" w:name="_Toc47885176"/>
      <w:r w:rsidRPr="00D46B11">
        <w:rPr>
          <w:spacing w:val="-1"/>
        </w:rPr>
        <w:t>Excluded sources (outside of certification boundary)</w:t>
      </w:r>
      <w:bookmarkEnd w:id="19"/>
    </w:p>
    <w:p w:rsidR="00667809" w:rsidRPr="0038482C" w:rsidRDefault="00667809" w:rsidP="00667809">
      <w:pPr>
        <w:widowControl w:val="0"/>
        <w:spacing w:after="0"/>
        <w:ind w:right="-1"/>
        <w:rPr>
          <w:spacing w:val="-1"/>
          <w:lang w:val="en-US"/>
        </w:rPr>
      </w:pPr>
      <w:r>
        <w:rPr>
          <w:spacing w:val="-1"/>
          <w:lang w:val="en-US"/>
        </w:rPr>
        <w:t>Some</w:t>
      </w:r>
      <w:r w:rsidRPr="0038482C">
        <w:rPr>
          <w:spacing w:val="-1"/>
          <w:lang w:val="en-US"/>
        </w:rPr>
        <w:t xml:space="preserve"> emissions sources have been </w:t>
      </w:r>
      <w:r>
        <w:rPr>
          <w:spacing w:val="-1"/>
          <w:lang w:val="en-US"/>
        </w:rPr>
        <w:t xml:space="preserve">excluded from the Melbourne Fashion Week boundary as they were determined immaterial or not relevant. The following guiding questions guided this exclusion process. </w:t>
      </w:r>
    </w:p>
    <w:p w:rsidR="00667809" w:rsidRPr="00602BD1" w:rsidRDefault="00667809" w:rsidP="00D46B11">
      <w:pPr>
        <w:pStyle w:val="Heading3"/>
      </w:pPr>
      <w:bookmarkStart w:id="20" w:name="_Toc47885177"/>
      <w:r w:rsidRPr="00602BD1">
        <w:t>Is the emission source deemed one of high-risk to City of Melbourne?</w:t>
      </w:r>
      <w:bookmarkEnd w:id="20"/>
    </w:p>
    <w:p w:rsidR="00667809" w:rsidRPr="006F6A83" w:rsidRDefault="00667809" w:rsidP="006F6A83">
      <w:pPr>
        <w:pStyle w:val="BodyText"/>
      </w:pPr>
      <w:r w:rsidRPr="006F6A83">
        <w:t xml:space="preserve">Emissions sources are deemed to be high risk if there is a high perceived risk to City of Melbourne’s reputation as a result of the emissions source (for example, highly visible impact sources such as marketing materials). Criteria were based on City of Melbourne Moomba and Melbourne Music Week 2015 materiality assessments and are revisited each year during event planning. </w:t>
      </w:r>
    </w:p>
    <w:p w:rsidR="00667809" w:rsidRPr="00602BD1" w:rsidRDefault="00667809" w:rsidP="00D46B11">
      <w:pPr>
        <w:pStyle w:val="Heading3"/>
      </w:pPr>
      <w:bookmarkStart w:id="21" w:name="_Toc47885178"/>
      <w:r w:rsidRPr="00602BD1">
        <w:t>Is the emission source of particular value to the event stakeholders?</w:t>
      </w:r>
      <w:bookmarkEnd w:id="21"/>
    </w:p>
    <w:p w:rsidR="00667809" w:rsidRPr="006F6A83" w:rsidRDefault="00667809" w:rsidP="006F6A83">
      <w:pPr>
        <w:pStyle w:val="BodyText"/>
      </w:pPr>
      <w:r w:rsidRPr="006F6A83">
        <w:t>High value emissions sources are those that may align with values of particular stakeholders, for example reducing construction/production waste may be particularly important to some even though the associated emissions are relatively small. The assessment of each emissions source against this criterion was based on the judgement of the City of Melbourne event management and Climate Change teams for Melbourne Fashion Week.</w:t>
      </w:r>
    </w:p>
    <w:p w:rsidR="00667809" w:rsidRPr="007B1FE0" w:rsidRDefault="00667809" w:rsidP="00D46B11">
      <w:pPr>
        <w:pStyle w:val="Heading3"/>
      </w:pPr>
      <w:bookmarkStart w:id="22" w:name="_Toc47885179"/>
      <w:r w:rsidRPr="007B1FE0">
        <w:t>Is the combined impact of the emission source significant in quantitative size?</w:t>
      </w:r>
      <w:bookmarkEnd w:id="22"/>
    </w:p>
    <w:p w:rsidR="00667809" w:rsidRPr="006F6A83" w:rsidRDefault="00667809" w:rsidP="006F6A83">
      <w:pPr>
        <w:pStyle w:val="BodyText"/>
      </w:pPr>
      <w:r w:rsidRPr="006F6A83">
        <w:t xml:space="preserve">The relative contribution of each emissions source to the overall Melbourne Fashion Week footprint was based on the inventories of each previously measured event. The significance of each emissions source in terms of size was based on this assessment. </w:t>
      </w:r>
    </w:p>
    <w:p w:rsidR="00667809" w:rsidRDefault="00667809" w:rsidP="00D46B11">
      <w:pPr>
        <w:pStyle w:val="Heading1"/>
      </w:pPr>
      <w:bookmarkStart w:id="23" w:name="_Toc47885180"/>
      <w:r w:rsidRPr="00D46B11">
        <w:t>3. Emissions summary</w:t>
      </w:r>
      <w:bookmarkEnd w:id="23"/>
    </w:p>
    <w:p w:rsidR="00D46B11" w:rsidRPr="00D46B11" w:rsidRDefault="00D46B11" w:rsidP="00D46B11">
      <w:pPr>
        <w:pStyle w:val="Heading3"/>
      </w:pPr>
      <w:bookmarkStart w:id="24" w:name="_Toc47885181"/>
      <w:r w:rsidRPr="00D46B11">
        <w:t>Table 3 Emissions Summary</w:t>
      </w:r>
      <w:bookmarkEnd w:id="24"/>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93"/>
        <w:gridCol w:w="1889"/>
        <w:gridCol w:w="1888"/>
      </w:tblGrid>
      <w:tr w:rsidR="00667809" w:rsidRPr="008C6844" w:rsidTr="008C6844">
        <w:trPr>
          <w:trHeight w:hRule="exact" w:val="982"/>
          <w:tblHeader/>
        </w:trPr>
        <w:tc>
          <w:tcPr>
            <w:tcW w:w="5693" w:type="dxa"/>
            <w:shd w:val="clear" w:color="auto" w:fill="D9D9D9" w:themeFill="background1" w:themeFillShade="D9"/>
            <w:vAlign w:val="center"/>
          </w:tcPr>
          <w:p w:rsidR="00667809" w:rsidRPr="008C6844" w:rsidRDefault="00667809" w:rsidP="00667809">
            <w:pPr>
              <w:rPr>
                <w:b/>
                <w:bCs/>
              </w:rPr>
            </w:pPr>
            <w:bookmarkStart w:id="25" w:name="Title_7" w:colFirst="0" w:colLast="0"/>
            <w:r w:rsidRPr="008C6844">
              <w:rPr>
                <w:b/>
                <w:bCs/>
              </w:rPr>
              <w:t xml:space="preserve">Emission source category </w:t>
            </w:r>
          </w:p>
        </w:tc>
        <w:tc>
          <w:tcPr>
            <w:tcW w:w="1889" w:type="dxa"/>
            <w:shd w:val="clear" w:color="auto" w:fill="D9D9D9" w:themeFill="background1" w:themeFillShade="D9"/>
            <w:vAlign w:val="center"/>
          </w:tcPr>
          <w:p w:rsidR="00667809" w:rsidRPr="008C6844" w:rsidRDefault="00667809" w:rsidP="00667809">
            <w:pPr>
              <w:rPr>
                <w:b/>
                <w:bCs/>
              </w:rPr>
            </w:pPr>
            <w:r w:rsidRPr="008C6844">
              <w:rPr>
                <w:b/>
                <w:bCs/>
              </w:rPr>
              <w:t>Pre-event tonnes CO</w:t>
            </w:r>
            <w:r w:rsidRPr="008C6844">
              <w:rPr>
                <w:b/>
                <w:bCs/>
                <w:vertAlign w:val="subscript"/>
              </w:rPr>
              <w:t>2</w:t>
            </w:r>
            <w:r w:rsidRPr="008C6844">
              <w:rPr>
                <w:b/>
                <w:bCs/>
              </w:rPr>
              <w:t>-e</w:t>
            </w:r>
          </w:p>
        </w:tc>
        <w:tc>
          <w:tcPr>
            <w:tcW w:w="1888" w:type="dxa"/>
            <w:shd w:val="clear" w:color="auto" w:fill="D9D9D9" w:themeFill="background1" w:themeFillShade="D9"/>
          </w:tcPr>
          <w:p w:rsidR="00667809" w:rsidRPr="008C6844" w:rsidRDefault="00667809" w:rsidP="00667809">
            <w:pPr>
              <w:rPr>
                <w:b/>
                <w:bCs/>
              </w:rPr>
            </w:pPr>
            <w:r w:rsidRPr="008C6844">
              <w:rPr>
                <w:b/>
                <w:bCs/>
              </w:rPr>
              <w:t>Post-event tonnes CO</w:t>
            </w:r>
            <w:r w:rsidRPr="008C6844">
              <w:rPr>
                <w:b/>
                <w:bCs/>
                <w:vertAlign w:val="subscript"/>
              </w:rPr>
              <w:t>2</w:t>
            </w:r>
            <w:r w:rsidRPr="008C6844">
              <w:rPr>
                <w:b/>
                <w:bCs/>
              </w:rPr>
              <w:t>-e</w:t>
            </w:r>
          </w:p>
        </w:tc>
      </w:tr>
      <w:bookmarkEnd w:id="25"/>
      <w:tr w:rsidR="00667809" w:rsidRPr="00A0432B" w:rsidTr="00667809">
        <w:trPr>
          <w:trHeight w:val="410"/>
        </w:trPr>
        <w:tc>
          <w:tcPr>
            <w:tcW w:w="5693" w:type="dxa"/>
            <w:vAlign w:val="bottom"/>
          </w:tcPr>
          <w:p w:rsidR="00667809" w:rsidRPr="00E92623" w:rsidRDefault="00667809" w:rsidP="00667809">
            <w:r w:rsidRPr="00E92623">
              <w:rPr>
                <w:rFonts w:cs="Arial"/>
                <w:color w:val="000000"/>
              </w:rPr>
              <w:t xml:space="preserve">Generators </w:t>
            </w:r>
            <w:r w:rsidRPr="00E92623">
              <w:rPr>
                <w:rFonts w:cs="Cambria Math"/>
                <w:color w:val="000000"/>
              </w:rPr>
              <w:t>‐</w:t>
            </w:r>
            <w:r w:rsidRPr="00E92623">
              <w:rPr>
                <w:rFonts w:cs="Arial"/>
                <w:color w:val="000000"/>
              </w:rPr>
              <w:t xml:space="preserve"> Bio diesel</w:t>
            </w:r>
          </w:p>
        </w:tc>
        <w:tc>
          <w:tcPr>
            <w:tcW w:w="1889" w:type="dxa"/>
            <w:vAlign w:val="bottom"/>
          </w:tcPr>
          <w:p w:rsidR="00667809" w:rsidRPr="00E92623" w:rsidRDefault="00667809" w:rsidP="00667809">
            <w:r w:rsidRPr="00E92623">
              <w:rPr>
                <w:rFonts w:cs="Arial"/>
                <w:color w:val="000000"/>
              </w:rPr>
              <w:t>3.85</w:t>
            </w:r>
          </w:p>
        </w:tc>
        <w:tc>
          <w:tcPr>
            <w:tcW w:w="1888" w:type="dxa"/>
            <w:vAlign w:val="bottom"/>
          </w:tcPr>
          <w:p w:rsidR="00667809" w:rsidRPr="00E92623" w:rsidRDefault="00667809" w:rsidP="00667809">
            <w:r w:rsidRPr="00E92623">
              <w:rPr>
                <w:rFonts w:cs="Arial"/>
                <w:color w:val="000000"/>
              </w:rPr>
              <w:t>0.36</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Purchased Gas</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0.49</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Purchased Electricity (</w:t>
            </w:r>
            <w:r>
              <w:rPr>
                <w:rFonts w:cs="Arial"/>
                <w:color w:val="000000"/>
              </w:rPr>
              <w:t>LGCs</w:t>
            </w:r>
            <w:r w:rsidRPr="00E92623">
              <w:rPr>
                <w:rFonts w:cs="Arial"/>
                <w:color w:val="000000"/>
              </w:rPr>
              <w:t>)</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0.00</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Purchased Electricity</w:t>
            </w:r>
          </w:p>
        </w:tc>
        <w:tc>
          <w:tcPr>
            <w:tcW w:w="1889" w:type="dxa"/>
            <w:vAlign w:val="bottom"/>
          </w:tcPr>
          <w:p w:rsidR="00667809" w:rsidRPr="00E92623" w:rsidRDefault="00667809" w:rsidP="00667809">
            <w:r w:rsidRPr="00E92623">
              <w:rPr>
                <w:rFonts w:cs="Arial"/>
                <w:color w:val="000000"/>
              </w:rPr>
              <w:t>1.08</w:t>
            </w:r>
          </w:p>
        </w:tc>
        <w:tc>
          <w:tcPr>
            <w:tcW w:w="1888" w:type="dxa"/>
            <w:vAlign w:val="bottom"/>
          </w:tcPr>
          <w:p w:rsidR="00667809" w:rsidRPr="00E92623" w:rsidRDefault="00667809" w:rsidP="00667809">
            <w:r w:rsidRPr="00E92623">
              <w:rPr>
                <w:rFonts w:cs="Arial"/>
                <w:color w:val="000000"/>
              </w:rPr>
              <w:t>0.39</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 xml:space="preserve">Municipal Solid Waste </w:t>
            </w:r>
          </w:p>
        </w:tc>
        <w:tc>
          <w:tcPr>
            <w:tcW w:w="1889" w:type="dxa"/>
            <w:vAlign w:val="bottom"/>
          </w:tcPr>
          <w:p w:rsidR="00667809" w:rsidRPr="00E92623" w:rsidRDefault="00667809" w:rsidP="00667809">
            <w:r w:rsidRPr="00E92623">
              <w:rPr>
                <w:rFonts w:cs="Arial"/>
                <w:color w:val="000000"/>
              </w:rPr>
              <w:t>4.67</w:t>
            </w:r>
          </w:p>
        </w:tc>
        <w:tc>
          <w:tcPr>
            <w:tcW w:w="1888" w:type="dxa"/>
            <w:vAlign w:val="bottom"/>
          </w:tcPr>
          <w:p w:rsidR="00667809" w:rsidRPr="00E92623" w:rsidRDefault="00667809" w:rsidP="00667809">
            <w:r w:rsidRPr="00E92623">
              <w:rPr>
                <w:rFonts w:cs="Arial"/>
                <w:color w:val="000000"/>
              </w:rPr>
              <w:t>3.25</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Construction Waste</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3.38</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 xml:space="preserve">Food Waste </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2.62</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Food Waste (to compost/livestock)</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0.08</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Comingled Recycling</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0.00</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New Construction Materials</w:t>
            </w:r>
          </w:p>
        </w:tc>
        <w:tc>
          <w:tcPr>
            <w:tcW w:w="1889" w:type="dxa"/>
            <w:vAlign w:val="bottom"/>
          </w:tcPr>
          <w:p w:rsidR="00667809" w:rsidRPr="00E92623" w:rsidRDefault="00667809" w:rsidP="00667809">
            <w:r w:rsidRPr="00E92623">
              <w:rPr>
                <w:rFonts w:cs="Arial"/>
                <w:color w:val="000000"/>
              </w:rPr>
              <w:t>41.46</w:t>
            </w:r>
          </w:p>
        </w:tc>
        <w:tc>
          <w:tcPr>
            <w:tcW w:w="1888" w:type="dxa"/>
            <w:vAlign w:val="bottom"/>
          </w:tcPr>
          <w:p w:rsidR="00667809" w:rsidRPr="00E92623" w:rsidRDefault="00667809" w:rsidP="00667809">
            <w:r w:rsidRPr="00E92623">
              <w:rPr>
                <w:rFonts w:cs="Arial"/>
                <w:color w:val="000000"/>
              </w:rPr>
              <w:t>15.32</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Marketing</w:t>
            </w:r>
          </w:p>
        </w:tc>
        <w:tc>
          <w:tcPr>
            <w:tcW w:w="1889" w:type="dxa"/>
            <w:vAlign w:val="bottom"/>
          </w:tcPr>
          <w:p w:rsidR="00667809" w:rsidRPr="00E92623" w:rsidRDefault="00667809" w:rsidP="00667809">
            <w:r w:rsidRPr="00E92623">
              <w:rPr>
                <w:rFonts w:cs="Arial"/>
                <w:color w:val="000000"/>
              </w:rPr>
              <w:t>2.00</w:t>
            </w:r>
          </w:p>
        </w:tc>
        <w:tc>
          <w:tcPr>
            <w:tcW w:w="1888" w:type="dxa"/>
            <w:vAlign w:val="bottom"/>
          </w:tcPr>
          <w:p w:rsidR="00667809" w:rsidRPr="00E92623" w:rsidRDefault="00667809" w:rsidP="00667809">
            <w:r w:rsidRPr="00E92623">
              <w:rPr>
                <w:rFonts w:cs="Arial"/>
                <w:color w:val="000000"/>
              </w:rPr>
              <w:t>0.59</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Air Travel</w:t>
            </w:r>
          </w:p>
        </w:tc>
        <w:tc>
          <w:tcPr>
            <w:tcW w:w="1889" w:type="dxa"/>
            <w:vAlign w:val="bottom"/>
          </w:tcPr>
          <w:p w:rsidR="00667809" w:rsidRPr="00E92623" w:rsidRDefault="00667809" w:rsidP="00667809">
            <w:r w:rsidRPr="00E92623">
              <w:rPr>
                <w:rFonts w:cs="Arial"/>
                <w:color w:val="000000"/>
              </w:rPr>
              <w:t>16.35</w:t>
            </w:r>
          </w:p>
        </w:tc>
        <w:tc>
          <w:tcPr>
            <w:tcW w:w="1888" w:type="dxa"/>
            <w:vAlign w:val="bottom"/>
          </w:tcPr>
          <w:p w:rsidR="00667809" w:rsidRPr="00E92623" w:rsidRDefault="00667809" w:rsidP="00667809">
            <w:r w:rsidRPr="00E92623">
              <w:rPr>
                <w:rFonts w:cs="Arial"/>
                <w:color w:val="000000"/>
              </w:rPr>
              <w:t>102.10</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Accommodation</w:t>
            </w:r>
          </w:p>
        </w:tc>
        <w:tc>
          <w:tcPr>
            <w:tcW w:w="1889" w:type="dxa"/>
            <w:vAlign w:val="bottom"/>
          </w:tcPr>
          <w:p w:rsidR="00667809" w:rsidRPr="00E92623" w:rsidRDefault="00667809" w:rsidP="00667809">
            <w:r w:rsidRPr="00E92623">
              <w:rPr>
                <w:rFonts w:cs="Arial"/>
                <w:color w:val="000000"/>
              </w:rPr>
              <w:t>22.88</w:t>
            </w:r>
          </w:p>
        </w:tc>
        <w:tc>
          <w:tcPr>
            <w:tcW w:w="1888" w:type="dxa"/>
            <w:vAlign w:val="bottom"/>
          </w:tcPr>
          <w:p w:rsidR="00667809" w:rsidRPr="00E92623" w:rsidRDefault="00667809" w:rsidP="00667809">
            <w:r w:rsidRPr="00E92623">
              <w:rPr>
                <w:rFonts w:cs="Arial"/>
                <w:color w:val="000000"/>
              </w:rPr>
              <w:t>62.72</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Drinks</w:t>
            </w:r>
          </w:p>
        </w:tc>
        <w:tc>
          <w:tcPr>
            <w:tcW w:w="1889" w:type="dxa"/>
            <w:vAlign w:val="bottom"/>
          </w:tcPr>
          <w:p w:rsidR="00667809" w:rsidRPr="00E92623" w:rsidRDefault="00667809" w:rsidP="00667809">
            <w:r w:rsidRPr="00E92623">
              <w:rPr>
                <w:rFonts w:cs="Arial"/>
                <w:color w:val="000000"/>
              </w:rPr>
              <w:t>13.03</w:t>
            </w:r>
          </w:p>
        </w:tc>
        <w:tc>
          <w:tcPr>
            <w:tcW w:w="1888" w:type="dxa"/>
            <w:vAlign w:val="bottom"/>
          </w:tcPr>
          <w:p w:rsidR="00667809" w:rsidRPr="00E92623" w:rsidRDefault="00667809" w:rsidP="00667809">
            <w:r w:rsidRPr="00E92623">
              <w:rPr>
                <w:rFonts w:cs="Arial"/>
                <w:color w:val="000000"/>
              </w:rPr>
              <w:t>32.60</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Food</w:t>
            </w:r>
          </w:p>
        </w:tc>
        <w:tc>
          <w:tcPr>
            <w:tcW w:w="1889" w:type="dxa"/>
            <w:vAlign w:val="bottom"/>
          </w:tcPr>
          <w:p w:rsidR="00667809" w:rsidRPr="00E92623" w:rsidRDefault="00667809" w:rsidP="00667809">
            <w:r w:rsidRPr="00E92623">
              <w:rPr>
                <w:rFonts w:cs="Arial"/>
                <w:color w:val="000000"/>
              </w:rPr>
              <w:t>107.87</w:t>
            </w:r>
          </w:p>
        </w:tc>
        <w:tc>
          <w:tcPr>
            <w:tcW w:w="1888" w:type="dxa"/>
            <w:vAlign w:val="bottom"/>
          </w:tcPr>
          <w:p w:rsidR="00667809" w:rsidRPr="00E92623" w:rsidRDefault="00667809" w:rsidP="00667809">
            <w:r w:rsidRPr="00E92623">
              <w:rPr>
                <w:rFonts w:cs="Arial"/>
                <w:color w:val="000000"/>
              </w:rPr>
              <w:t>217.93</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Florals</w:t>
            </w:r>
          </w:p>
        </w:tc>
        <w:tc>
          <w:tcPr>
            <w:tcW w:w="1889" w:type="dxa"/>
            <w:vAlign w:val="bottom"/>
          </w:tcPr>
          <w:p w:rsidR="00667809" w:rsidRPr="00E92623" w:rsidRDefault="00667809" w:rsidP="00667809">
            <w:r w:rsidRPr="00E92623">
              <w:rPr>
                <w:rFonts w:cs="Arial"/>
                <w:color w:val="000000"/>
              </w:rPr>
              <w:t>0.00</w:t>
            </w:r>
          </w:p>
        </w:tc>
        <w:tc>
          <w:tcPr>
            <w:tcW w:w="1888" w:type="dxa"/>
            <w:vAlign w:val="bottom"/>
          </w:tcPr>
          <w:p w:rsidR="00667809" w:rsidRPr="00E92623" w:rsidRDefault="00667809" w:rsidP="00667809">
            <w:r w:rsidRPr="00E92623">
              <w:rPr>
                <w:rFonts w:cs="Arial"/>
                <w:color w:val="000000"/>
              </w:rPr>
              <w:t>16.53</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 xml:space="preserve">Patron Transport </w:t>
            </w:r>
            <w:r w:rsidRPr="00E92623">
              <w:rPr>
                <w:rFonts w:cs="Cambria Math"/>
                <w:color w:val="000000"/>
              </w:rPr>
              <w:t>‐</w:t>
            </w:r>
            <w:r w:rsidRPr="00E92623">
              <w:rPr>
                <w:rFonts w:cs="Arial"/>
                <w:color w:val="000000"/>
              </w:rPr>
              <w:t xml:space="preserve"> All Modes</w:t>
            </w:r>
          </w:p>
        </w:tc>
        <w:tc>
          <w:tcPr>
            <w:tcW w:w="1889" w:type="dxa"/>
            <w:vAlign w:val="bottom"/>
          </w:tcPr>
          <w:p w:rsidR="00667809" w:rsidRPr="00E92623" w:rsidRDefault="00667809" w:rsidP="00667809">
            <w:r w:rsidRPr="00E92623">
              <w:rPr>
                <w:rFonts w:cs="Arial"/>
                <w:color w:val="000000"/>
              </w:rPr>
              <w:t>218.04</w:t>
            </w:r>
          </w:p>
        </w:tc>
        <w:tc>
          <w:tcPr>
            <w:tcW w:w="1888" w:type="dxa"/>
            <w:vAlign w:val="bottom"/>
          </w:tcPr>
          <w:p w:rsidR="00667809" w:rsidRPr="00E92623" w:rsidRDefault="00667809" w:rsidP="00667809">
            <w:r w:rsidRPr="00E92623">
              <w:rPr>
                <w:rFonts w:cs="Arial"/>
                <w:color w:val="000000"/>
              </w:rPr>
              <w:t>245.55</w:t>
            </w:r>
          </w:p>
        </w:tc>
      </w:tr>
      <w:tr w:rsidR="00667809" w:rsidRPr="00A0432B" w:rsidTr="00667809">
        <w:trPr>
          <w:trHeight w:val="410"/>
        </w:trPr>
        <w:tc>
          <w:tcPr>
            <w:tcW w:w="5693" w:type="dxa"/>
            <w:vAlign w:val="bottom"/>
          </w:tcPr>
          <w:p w:rsidR="00667809" w:rsidRPr="00E92623" w:rsidRDefault="00667809" w:rsidP="00667809">
            <w:r w:rsidRPr="00E92623">
              <w:rPr>
                <w:rFonts w:cs="Arial"/>
                <w:color w:val="000000"/>
              </w:rPr>
              <w:t xml:space="preserve">Tier Three </w:t>
            </w:r>
            <w:r w:rsidRPr="00E92623">
              <w:rPr>
                <w:rFonts w:cs="Cambria Math"/>
                <w:color w:val="000000"/>
              </w:rPr>
              <w:t>‐</w:t>
            </w:r>
            <w:r w:rsidRPr="00E92623">
              <w:rPr>
                <w:rFonts w:cs="Arial"/>
                <w:color w:val="000000"/>
              </w:rPr>
              <w:t xml:space="preserve"> Events</w:t>
            </w:r>
          </w:p>
        </w:tc>
        <w:tc>
          <w:tcPr>
            <w:tcW w:w="1889" w:type="dxa"/>
            <w:vAlign w:val="bottom"/>
          </w:tcPr>
          <w:p w:rsidR="00667809" w:rsidRPr="00E92623" w:rsidRDefault="00667809" w:rsidP="00667809">
            <w:r w:rsidRPr="00E92623">
              <w:rPr>
                <w:rFonts w:cs="Arial"/>
                <w:color w:val="000000"/>
              </w:rPr>
              <w:t>68.87</w:t>
            </w:r>
          </w:p>
        </w:tc>
        <w:tc>
          <w:tcPr>
            <w:tcW w:w="1888" w:type="dxa"/>
            <w:vAlign w:val="bottom"/>
          </w:tcPr>
          <w:p w:rsidR="00667809" w:rsidRPr="00E92623" w:rsidRDefault="00667809" w:rsidP="00667809">
            <w:r w:rsidRPr="00E92623">
              <w:rPr>
                <w:rFonts w:cs="Arial"/>
                <w:color w:val="000000"/>
              </w:rPr>
              <w:t>68.69</w:t>
            </w:r>
          </w:p>
        </w:tc>
      </w:tr>
      <w:tr w:rsidR="00667809" w:rsidRPr="00A0432B" w:rsidTr="00D46B11">
        <w:trPr>
          <w:trHeight w:val="897"/>
        </w:trPr>
        <w:tc>
          <w:tcPr>
            <w:tcW w:w="5693" w:type="dxa"/>
            <w:shd w:val="clear" w:color="auto" w:fill="D9D9D9" w:themeFill="background1" w:themeFillShade="D9"/>
            <w:vAlign w:val="center"/>
          </w:tcPr>
          <w:p w:rsidR="00667809" w:rsidRPr="00E92623" w:rsidRDefault="00667809" w:rsidP="00D46B11">
            <w:r w:rsidRPr="00E92623">
              <w:t xml:space="preserve">Total Net Emissions </w:t>
            </w:r>
          </w:p>
        </w:tc>
        <w:tc>
          <w:tcPr>
            <w:tcW w:w="1889" w:type="dxa"/>
            <w:vAlign w:val="center"/>
          </w:tcPr>
          <w:p w:rsidR="00667809" w:rsidRPr="00E92623" w:rsidRDefault="00667809" w:rsidP="00D46B11">
            <w:r>
              <w:t>500.09</w:t>
            </w:r>
          </w:p>
        </w:tc>
        <w:tc>
          <w:tcPr>
            <w:tcW w:w="1888" w:type="dxa"/>
            <w:vAlign w:val="center"/>
          </w:tcPr>
          <w:p w:rsidR="00667809" w:rsidRPr="00E92623" w:rsidRDefault="00667809" w:rsidP="00D46B11">
            <w:r>
              <w:t>772.58</w:t>
            </w:r>
          </w:p>
        </w:tc>
      </w:tr>
    </w:tbl>
    <w:p w:rsidR="00667809" w:rsidRDefault="00667809" w:rsidP="00667809">
      <w:pPr>
        <w:pStyle w:val="Heading2"/>
        <w:rPr>
          <w:spacing w:val="-1"/>
        </w:rPr>
      </w:pPr>
      <w:bookmarkStart w:id="26" w:name="4._Carbon_offsets"/>
      <w:bookmarkStart w:id="27" w:name="_Toc47885182"/>
      <w:bookmarkEnd w:id="26"/>
      <w:r w:rsidRPr="00D46B11">
        <w:rPr>
          <w:spacing w:val="-1"/>
        </w:rPr>
        <w:t>True-up of emissions</w:t>
      </w:r>
      <w:bookmarkEnd w:id="27"/>
      <w:r w:rsidRPr="00D46B11">
        <w:rPr>
          <w:spacing w:val="-1"/>
        </w:rPr>
        <w:t xml:space="preserve"> </w:t>
      </w:r>
    </w:p>
    <w:p w:rsidR="00D46B11" w:rsidRPr="00D46B11" w:rsidRDefault="00D46B11" w:rsidP="00D46B11">
      <w:pPr>
        <w:pStyle w:val="Heading3"/>
      </w:pPr>
      <w:bookmarkStart w:id="28" w:name="_Toc47885183"/>
      <w:r w:rsidRPr="008B64AA">
        <w:t>Table 4 True up of emissions</w:t>
      </w:r>
      <w:bookmarkEnd w:id="28"/>
    </w:p>
    <w:tbl>
      <w:tblPr>
        <w:tblStyle w:val="TableGrid"/>
        <w:tblW w:w="0" w:type="auto"/>
        <w:tblLook w:val="04A0" w:firstRow="1" w:lastRow="0" w:firstColumn="1" w:lastColumn="0" w:noHBand="0" w:noVBand="1"/>
      </w:tblPr>
      <w:tblGrid>
        <w:gridCol w:w="4814"/>
        <w:gridCol w:w="4814"/>
      </w:tblGrid>
      <w:tr w:rsidR="00667809" w:rsidTr="00667809">
        <w:tc>
          <w:tcPr>
            <w:tcW w:w="4814" w:type="dxa"/>
            <w:shd w:val="clear" w:color="auto" w:fill="D9D9D9" w:themeFill="background1" w:themeFillShade="D9"/>
          </w:tcPr>
          <w:p w:rsidR="00667809" w:rsidRPr="002D1EF3" w:rsidRDefault="00667809" w:rsidP="00667809">
            <w:pPr>
              <w:spacing w:after="160" w:line="259" w:lineRule="auto"/>
            </w:pPr>
            <w:bookmarkStart w:id="29" w:name="RowTitle_8" w:colFirst="0" w:colLast="0"/>
            <w:r w:rsidRPr="002D1EF3">
              <w:t xml:space="preserve">Total tCO2-e in pre event report </w:t>
            </w:r>
          </w:p>
        </w:tc>
        <w:tc>
          <w:tcPr>
            <w:tcW w:w="4814" w:type="dxa"/>
          </w:tcPr>
          <w:p w:rsidR="00667809" w:rsidRPr="002D1EF3" w:rsidRDefault="00667809" w:rsidP="00667809">
            <w:pPr>
              <w:widowControl w:val="0"/>
              <w:spacing w:after="120"/>
              <w:ind w:right="-1"/>
              <w:rPr>
                <w:spacing w:val="-1"/>
                <w:lang w:val="en-US"/>
              </w:rPr>
            </w:pPr>
            <w:r w:rsidRPr="002D1EF3">
              <w:rPr>
                <w:spacing w:val="-1"/>
                <w:lang w:val="en-US"/>
              </w:rPr>
              <w:t>500.09</w:t>
            </w:r>
          </w:p>
        </w:tc>
      </w:tr>
      <w:tr w:rsidR="00667809" w:rsidTr="00667809">
        <w:trPr>
          <w:trHeight w:val="50"/>
        </w:trPr>
        <w:tc>
          <w:tcPr>
            <w:tcW w:w="4814" w:type="dxa"/>
            <w:shd w:val="clear" w:color="auto" w:fill="D9D9D9" w:themeFill="background1" w:themeFillShade="D9"/>
          </w:tcPr>
          <w:p w:rsidR="00667809" w:rsidRPr="002D1EF3" w:rsidRDefault="00667809" w:rsidP="00667809">
            <w:pPr>
              <w:spacing w:after="160" w:line="259" w:lineRule="auto"/>
            </w:pPr>
            <w:r w:rsidRPr="002D1EF3">
              <w:t>Total tCO2-e in post event report</w:t>
            </w:r>
          </w:p>
        </w:tc>
        <w:tc>
          <w:tcPr>
            <w:tcW w:w="4814" w:type="dxa"/>
          </w:tcPr>
          <w:p w:rsidR="00667809" w:rsidRPr="002D1EF3" w:rsidRDefault="00667809" w:rsidP="00667809">
            <w:pPr>
              <w:widowControl w:val="0"/>
              <w:spacing w:after="120"/>
              <w:ind w:right="-1"/>
              <w:rPr>
                <w:spacing w:val="-1"/>
                <w:lang w:val="en-US"/>
              </w:rPr>
            </w:pPr>
            <w:r w:rsidRPr="002D1EF3">
              <w:rPr>
                <w:spacing w:val="-1"/>
                <w:lang w:val="en-US"/>
              </w:rPr>
              <w:t>772.58</w:t>
            </w:r>
          </w:p>
        </w:tc>
      </w:tr>
      <w:tr w:rsidR="00667809" w:rsidTr="00667809">
        <w:tc>
          <w:tcPr>
            <w:tcW w:w="4814" w:type="dxa"/>
            <w:shd w:val="clear" w:color="auto" w:fill="D9D9D9" w:themeFill="background1" w:themeFillShade="D9"/>
          </w:tcPr>
          <w:p w:rsidR="00667809" w:rsidRPr="008F67B9" w:rsidRDefault="00667809" w:rsidP="00667809">
            <w:pPr>
              <w:spacing w:after="160" w:line="259" w:lineRule="auto"/>
            </w:pPr>
            <w:r>
              <w:t xml:space="preserve">True-up (total post event minus total pre event) </w:t>
            </w:r>
          </w:p>
        </w:tc>
        <w:tc>
          <w:tcPr>
            <w:tcW w:w="4814" w:type="dxa"/>
          </w:tcPr>
          <w:p w:rsidR="00667809" w:rsidRPr="002D1EF3" w:rsidRDefault="00667809" w:rsidP="00667809">
            <w:pPr>
              <w:widowControl w:val="0"/>
              <w:spacing w:after="120"/>
              <w:ind w:right="-1"/>
              <w:rPr>
                <w:spacing w:val="-1"/>
                <w:lang w:val="en-US"/>
              </w:rPr>
            </w:pPr>
            <w:r w:rsidRPr="002D1EF3">
              <w:rPr>
                <w:spacing w:val="-1"/>
                <w:lang w:val="en-US"/>
              </w:rPr>
              <w:t>272.49</w:t>
            </w:r>
          </w:p>
        </w:tc>
      </w:tr>
      <w:bookmarkEnd w:id="29"/>
    </w:tbl>
    <w:p w:rsidR="00D46B11" w:rsidRDefault="00D46B11">
      <w:pPr>
        <w:spacing w:before="0" w:after="0" w:line="240" w:lineRule="auto"/>
        <w:rPr>
          <w:rFonts w:ascii="Arial Bold" w:eastAsia="MS Gothic" w:hAnsi="Arial Bold"/>
          <w:bCs/>
          <w:spacing w:val="-1"/>
          <w:sz w:val="24"/>
          <w:szCs w:val="26"/>
          <w:lang w:val="en-US"/>
        </w:rPr>
      </w:pPr>
      <w:r>
        <w:rPr>
          <w:spacing w:val="-1"/>
        </w:rPr>
        <w:br w:type="page"/>
      </w:r>
    </w:p>
    <w:p w:rsidR="00667809" w:rsidRPr="00D46B11" w:rsidRDefault="00667809" w:rsidP="00667809">
      <w:pPr>
        <w:pStyle w:val="Heading2"/>
        <w:rPr>
          <w:spacing w:val="-1"/>
        </w:rPr>
      </w:pPr>
      <w:bookmarkStart w:id="30" w:name="_Toc47885184"/>
      <w:r w:rsidRPr="00D46B11">
        <w:rPr>
          <w:spacing w:val="-1"/>
        </w:rPr>
        <w:t>Carbon Neutral products</w:t>
      </w:r>
      <w:bookmarkEnd w:id="30"/>
    </w:p>
    <w:p w:rsidR="00667809" w:rsidRDefault="00667809" w:rsidP="00D46B11">
      <w:pPr>
        <w:widowControl w:val="0"/>
        <w:spacing w:after="120" w:line="240" w:lineRule="auto"/>
        <w:ind w:right="-1"/>
      </w:pPr>
      <w:r w:rsidRPr="00676F53">
        <w:t xml:space="preserve">Nil </w:t>
      </w:r>
    </w:p>
    <w:p w:rsidR="00667809" w:rsidRPr="00D46B11" w:rsidRDefault="00667809" w:rsidP="00667809">
      <w:pPr>
        <w:pStyle w:val="Heading2"/>
        <w:rPr>
          <w:spacing w:val="-1"/>
        </w:rPr>
      </w:pPr>
      <w:bookmarkStart w:id="31" w:name="_Toc47885185"/>
      <w:r w:rsidRPr="00D46B11">
        <w:rPr>
          <w:spacing w:val="-1"/>
        </w:rPr>
        <w:t>Electricity Summary</w:t>
      </w:r>
      <w:bookmarkEnd w:id="31"/>
    </w:p>
    <w:p w:rsidR="00667809" w:rsidRDefault="00667809" w:rsidP="00667809">
      <w:pPr>
        <w:widowControl w:val="0"/>
        <w:spacing w:after="120" w:line="240" w:lineRule="auto"/>
        <w:ind w:right="-1"/>
        <w:rPr>
          <w:b/>
          <w:color w:val="000000" w:themeColor="text1"/>
        </w:rPr>
      </w:pPr>
      <w:r>
        <w:rPr>
          <w:color w:val="000000" w:themeColor="text1"/>
        </w:rPr>
        <w:t>Electricity was calculated using a Location-based approach.</w:t>
      </w:r>
      <w:r>
        <w:rPr>
          <w:b/>
          <w:color w:val="000000" w:themeColor="text1"/>
        </w:rPr>
        <w:t xml:space="preserve"> </w:t>
      </w:r>
    </w:p>
    <w:p w:rsidR="00D46B11" w:rsidRPr="008B64AA" w:rsidRDefault="00D46B11" w:rsidP="00D46B11">
      <w:pPr>
        <w:pStyle w:val="Heading3"/>
        <w:rPr>
          <w:b/>
          <w:color w:val="4F81BD" w:themeColor="accent1"/>
        </w:rPr>
      </w:pPr>
      <w:bookmarkStart w:id="32" w:name="_Toc47885186"/>
      <w:r>
        <w:t>Table 5</w:t>
      </w:r>
      <w:r w:rsidRPr="007F354A">
        <w:t xml:space="preserve"> Location-based summary</w:t>
      </w:r>
      <w:bookmarkEnd w:id="32"/>
    </w:p>
    <w:tbl>
      <w:tblPr>
        <w:tblW w:w="9198" w:type="dxa"/>
        <w:tblLook w:val="04A0" w:firstRow="1" w:lastRow="0" w:firstColumn="1" w:lastColumn="0" w:noHBand="0" w:noVBand="1"/>
      </w:tblPr>
      <w:tblGrid>
        <w:gridCol w:w="1092"/>
        <w:gridCol w:w="4571"/>
        <w:gridCol w:w="996"/>
        <w:gridCol w:w="1184"/>
        <w:gridCol w:w="1355"/>
      </w:tblGrid>
      <w:tr w:rsidR="00667809" w:rsidRPr="00417A0F" w:rsidTr="00902EE8">
        <w:trPr>
          <w:trHeight w:val="1170"/>
          <w:tblHeader/>
        </w:trPr>
        <w:tc>
          <w:tcPr>
            <w:tcW w:w="1092" w:type="dxa"/>
            <w:tcBorders>
              <w:top w:val="single" w:sz="8" w:space="0" w:color="auto"/>
              <w:left w:val="single" w:sz="8" w:space="0" w:color="auto"/>
              <w:bottom w:val="single" w:sz="8" w:space="0" w:color="auto"/>
              <w:right w:val="nil"/>
            </w:tcBorders>
            <w:shd w:val="clear" w:color="000000" w:fill="DDEBF7"/>
            <w:hideMark/>
          </w:tcPr>
          <w:p w:rsidR="00667809" w:rsidRPr="00417A0F" w:rsidRDefault="00667809" w:rsidP="00667809">
            <w:pPr>
              <w:spacing w:after="0" w:line="240" w:lineRule="auto"/>
              <w:jc w:val="center"/>
              <w:rPr>
                <w:rFonts w:ascii="Calibri" w:eastAsia="Times New Roman" w:hAnsi="Calibri" w:cs="Calibri"/>
                <w:b/>
                <w:bCs/>
                <w:color w:val="000000"/>
                <w:lang w:eastAsia="en-AU"/>
              </w:rPr>
            </w:pPr>
            <w:bookmarkStart w:id="33" w:name="Title_9" w:colFirst="0" w:colLast="0"/>
            <w:r w:rsidRPr="00417A0F">
              <w:rPr>
                <w:rFonts w:ascii="Calibri" w:eastAsia="Times New Roman" w:hAnsi="Calibri" w:cs="Calibri"/>
                <w:b/>
                <w:bCs/>
                <w:color w:val="000000"/>
                <w:lang w:eastAsia="en-AU"/>
              </w:rPr>
              <w:t>State/ Territory</w:t>
            </w:r>
          </w:p>
        </w:tc>
        <w:tc>
          <w:tcPr>
            <w:tcW w:w="4571" w:type="dxa"/>
            <w:tcBorders>
              <w:top w:val="single" w:sz="8" w:space="0" w:color="auto"/>
              <w:left w:val="single" w:sz="8" w:space="0" w:color="auto"/>
              <w:bottom w:val="single" w:sz="8" w:space="0" w:color="auto"/>
              <w:right w:val="nil"/>
            </w:tcBorders>
            <w:shd w:val="clear" w:color="000000" w:fill="DDEBF7"/>
            <w:noWrap/>
            <w:hideMark/>
          </w:tcPr>
          <w:p w:rsidR="00667809" w:rsidRPr="00417A0F" w:rsidRDefault="00667809" w:rsidP="00667809">
            <w:pPr>
              <w:spacing w:after="0" w:line="240" w:lineRule="auto"/>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Electricity Inventory items</w:t>
            </w:r>
          </w:p>
        </w:tc>
        <w:tc>
          <w:tcPr>
            <w:tcW w:w="996" w:type="dxa"/>
            <w:tcBorders>
              <w:top w:val="single" w:sz="8" w:space="0" w:color="auto"/>
              <w:left w:val="single" w:sz="8" w:space="0" w:color="auto"/>
              <w:bottom w:val="single" w:sz="8" w:space="0" w:color="auto"/>
              <w:right w:val="nil"/>
            </w:tcBorders>
            <w:shd w:val="clear" w:color="000000" w:fill="DDEBF7"/>
            <w:noWrap/>
            <w:hideMark/>
          </w:tcPr>
          <w:p w:rsidR="00667809" w:rsidRPr="00417A0F" w:rsidRDefault="00667809" w:rsidP="00667809">
            <w:pPr>
              <w:spacing w:after="0" w:line="240" w:lineRule="auto"/>
              <w:jc w:val="right"/>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kWh</w:t>
            </w:r>
          </w:p>
        </w:tc>
        <w:tc>
          <w:tcPr>
            <w:tcW w:w="1184" w:type="dxa"/>
            <w:tcBorders>
              <w:top w:val="single" w:sz="8" w:space="0" w:color="auto"/>
              <w:left w:val="nil"/>
              <w:bottom w:val="single" w:sz="8" w:space="0" w:color="auto"/>
              <w:right w:val="nil"/>
            </w:tcBorders>
            <w:shd w:val="clear" w:color="000000" w:fill="AEAAAA"/>
            <w:hideMark/>
          </w:tcPr>
          <w:p w:rsidR="00667809" w:rsidRPr="00417A0F" w:rsidRDefault="00667809" w:rsidP="00112BD6">
            <w:pPr>
              <w:spacing w:after="0" w:line="240" w:lineRule="auto"/>
              <w:ind w:firstLineChars="100" w:firstLine="201"/>
              <w:jc w:val="right"/>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Full Emission factor (Scope 2 +3)</w:t>
            </w:r>
          </w:p>
        </w:tc>
        <w:tc>
          <w:tcPr>
            <w:tcW w:w="1355" w:type="dxa"/>
            <w:tcBorders>
              <w:top w:val="single" w:sz="8" w:space="0" w:color="auto"/>
              <w:left w:val="nil"/>
              <w:bottom w:val="single" w:sz="8" w:space="0" w:color="auto"/>
              <w:right w:val="single" w:sz="8" w:space="0" w:color="auto"/>
            </w:tcBorders>
            <w:shd w:val="clear" w:color="000000" w:fill="DDEBF7"/>
            <w:hideMark/>
          </w:tcPr>
          <w:p w:rsidR="00667809" w:rsidRPr="00417A0F" w:rsidRDefault="00667809" w:rsidP="00112BD6">
            <w:pPr>
              <w:spacing w:after="0" w:line="240" w:lineRule="auto"/>
              <w:ind w:firstLineChars="100" w:firstLine="201"/>
              <w:jc w:val="right"/>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 xml:space="preserve">Emissions </w:t>
            </w:r>
            <w:r w:rsidRPr="00417A0F">
              <w:rPr>
                <w:rFonts w:ascii="Calibri" w:eastAsia="Times New Roman" w:hAnsi="Calibri" w:cs="Calibri"/>
                <w:b/>
                <w:bCs/>
                <w:color w:val="000000"/>
                <w:lang w:eastAsia="en-AU"/>
              </w:rPr>
              <w:br/>
              <w:t>(tonnes CO2e)</w:t>
            </w:r>
          </w:p>
        </w:tc>
      </w:tr>
      <w:bookmarkEnd w:id="33"/>
      <w:tr w:rsidR="00667809" w:rsidRPr="00417A0F" w:rsidTr="00667809">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Electricity Renewables</w:t>
            </w:r>
          </w:p>
        </w:tc>
        <w:tc>
          <w:tcPr>
            <w:tcW w:w="996" w:type="dxa"/>
            <w:tcBorders>
              <w:top w:val="nil"/>
              <w:left w:val="nil"/>
              <w:bottom w:val="dotDash" w:sz="8" w:space="0" w:color="4472C4"/>
              <w:right w:val="nil"/>
            </w:tcBorders>
            <w:shd w:val="clear" w:color="000000" w:fill="8EA9DB"/>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35,108.6</w:t>
            </w:r>
            <w:r w:rsidRPr="00417A0F">
              <w:rPr>
                <w:rFonts w:ascii="Calibri" w:eastAsia="Times New Roman" w:hAnsi="Calibri" w:cs="Calibri"/>
                <w:color w:val="000000"/>
                <w:lang w:eastAsia="en-AU"/>
              </w:rPr>
              <w:t xml:space="preserve">   </w:t>
            </w:r>
          </w:p>
        </w:tc>
        <w:tc>
          <w:tcPr>
            <w:tcW w:w="1184" w:type="dxa"/>
            <w:tcBorders>
              <w:top w:val="nil"/>
              <w:left w:val="nil"/>
              <w:bottom w:val="dotDash" w:sz="8" w:space="0" w:color="4472C4"/>
              <w:right w:val="nil"/>
            </w:tcBorders>
            <w:shd w:val="clear" w:color="000000" w:fill="E7E6E6"/>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-1.12 </w:t>
            </w:r>
          </w:p>
        </w:tc>
        <w:tc>
          <w:tcPr>
            <w:tcW w:w="1355" w:type="dxa"/>
            <w:tcBorders>
              <w:top w:val="nil"/>
              <w:left w:val="nil"/>
              <w:bottom w:val="dotDash" w:sz="8" w:space="0" w:color="4472C4"/>
              <w:right w:val="single" w:sz="8" w:space="0" w:color="auto"/>
            </w:tcBorders>
            <w:shd w:val="clear" w:color="000000" w:fill="8EA9DB"/>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r>
      <w:tr w:rsidR="00667809" w:rsidRPr="00417A0F" w:rsidTr="00667809">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Electricity Carbon Neutral Power</w:t>
            </w:r>
          </w:p>
        </w:tc>
        <w:tc>
          <w:tcPr>
            <w:tcW w:w="996" w:type="dxa"/>
            <w:tcBorders>
              <w:top w:val="nil"/>
              <w:left w:val="nil"/>
              <w:bottom w:val="dotDash" w:sz="8" w:space="0" w:color="4472C4"/>
              <w:right w:val="nil"/>
            </w:tcBorders>
            <w:shd w:val="clear" w:color="000000" w:fill="8EA9DB"/>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w:t>
            </w:r>
            <w:r w:rsidRPr="00417A0F">
              <w:rPr>
                <w:rFonts w:ascii="Calibri" w:eastAsia="Times New Roman" w:hAnsi="Calibri" w:cs="Calibri"/>
                <w:color w:val="000000"/>
                <w:lang w:eastAsia="en-AU"/>
              </w:rPr>
              <w:t xml:space="preserve">   </w:t>
            </w:r>
          </w:p>
        </w:tc>
        <w:tc>
          <w:tcPr>
            <w:tcW w:w="1184" w:type="dxa"/>
            <w:tcBorders>
              <w:top w:val="nil"/>
              <w:left w:val="nil"/>
              <w:bottom w:val="dotDash" w:sz="8" w:space="0" w:color="4472C4"/>
              <w:right w:val="nil"/>
            </w:tcBorders>
            <w:shd w:val="clear" w:color="000000" w:fill="E7E6E6"/>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-1.12 </w:t>
            </w:r>
          </w:p>
        </w:tc>
        <w:tc>
          <w:tcPr>
            <w:tcW w:w="1355" w:type="dxa"/>
            <w:tcBorders>
              <w:top w:val="nil"/>
              <w:left w:val="nil"/>
              <w:bottom w:val="dotDash" w:sz="8" w:space="0" w:color="4472C4"/>
              <w:right w:val="single" w:sz="8" w:space="0" w:color="auto"/>
            </w:tcBorders>
            <w:shd w:val="clear" w:color="000000" w:fill="8EA9DB"/>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r>
      <w:tr w:rsidR="00667809" w:rsidRPr="00417A0F" w:rsidTr="00667809">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Netted off (exported on-site generation)</w:t>
            </w:r>
          </w:p>
        </w:tc>
        <w:tc>
          <w:tcPr>
            <w:tcW w:w="996" w:type="dxa"/>
            <w:tcBorders>
              <w:top w:val="nil"/>
              <w:left w:val="nil"/>
              <w:bottom w:val="dotDash" w:sz="8" w:space="0" w:color="4472C4"/>
              <w:right w:val="nil"/>
            </w:tcBorders>
            <w:shd w:val="clear" w:color="000000" w:fill="8EA9DB"/>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0</w:t>
            </w:r>
            <w:r w:rsidRPr="00417A0F">
              <w:rPr>
                <w:rFonts w:ascii="Calibri" w:eastAsia="Times New Roman" w:hAnsi="Calibri" w:cs="Calibri"/>
                <w:color w:val="000000"/>
                <w:lang w:eastAsia="en-AU"/>
              </w:rPr>
              <w:t xml:space="preserve">   </w:t>
            </w:r>
          </w:p>
        </w:tc>
        <w:tc>
          <w:tcPr>
            <w:tcW w:w="1184" w:type="dxa"/>
            <w:tcBorders>
              <w:top w:val="nil"/>
              <w:left w:val="nil"/>
              <w:bottom w:val="dotDash" w:sz="8" w:space="0" w:color="4472C4"/>
              <w:right w:val="nil"/>
            </w:tcBorders>
            <w:shd w:val="clear" w:color="000000" w:fill="E7E6E6"/>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-1.02 </w:t>
            </w:r>
          </w:p>
        </w:tc>
        <w:tc>
          <w:tcPr>
            <w:tcW w:w="1355" w:type="dxa"/>
            <w:tcBorders>
              <w:top w:val="nil"/>
              <w:left w:val="nil"/>
              <w:bottom w:val="dotDash" w:sz="8" w:space="0" w:color="4472C4"/>
              <w:right w:val="single" w:sz="8" w:space="0" w:color="auto"/>
            </w:tcBorders>
            <w:shd w:val="clear" w:color="000000" w:fill="8EA9DB"/>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r>
      <w:tr w:rsidR="00667809" w:rsidRPr="00417A0F" w:rsidTr="00667809">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Electricity Total</w:t>
            </w:r>
          </w:p>
        </w:tc>
        <w:tc>
          <w:tcPr>
            <w:tcW w:w="996" w:type="dxa"/>
            <w:tcBorders>
              <w:top w:val="nil"/>
              <w:left w:val="nil"/>
              <w:bottom w:val="dotDash" w:sz="8" w:space="0" w:color="4472C4"/>
              <w:right w:val="nil"/>
            </w:tcBorders>
            <w:shd w:val="clear" w:color="000000" w:fill="8EA9DB"/>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35,454.6</w:t>
            </w:r>
            <w:r w:rsidRPr="00417A0F">
              <w:rPr>
                <w:rFonts w:ascii="Calibri" w:eastAsia="Times New Roman" w:hAnsi="Calibri" w:cs="Calibri"/>
                <w:color w:val="000000"/>
                <w:lang w:eastAsia="en-AU"/>
              </w:rPr>
              <w:t xml:space="preserve">   </w:t>
            </w:r>
          </w:p>
        </w:tc>
        <w:tc>
          <w:tcPr>
            <w:tcW w:w="1184" w:type="dxa"/>
            <w:tcBorders>
              <w:top w:val="nil"/>
              <w:left w:val="nil"/>
              <w:bottom w:val="dotDash" w:sz="8" w:space="0" w:color="4472C4"/>
              <w:right w:val="nil"/>
            </w:tcBorders>
            <w:shd w:val="clear" w:color="000000" w:fill="E7E6E6"/>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1.12 </w:t>
            </w:r>
          </w:p>
        </w:tc>
        <w:tc>
          <w:tcPr>
            <w:tcW w:w="1355" w:type="dxa"/>
            <w:tcBorders>
              <w:top w:val="nil"/>
              <w:left w:val="nil"/>
              <w:bottom w:val="dotDash" w:sz="8" w:space="0" w:color="4472C4"/>
              <w:right w:val="single" w:sz="8" w:space="0" w:color="auto"/>
            </w:tcBorders>
            <w:shd w:val="clear" w:color="000000" w:fill="8EA9DB"/>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39.71</w:t>
            </w:r>
            <w:r w:rsidRPr="00417A0F">
              <w:rPr>
                <w:rFonts w:ascii="Calibri" w:eastAsia="Times New Roman" w:hAnsi="Calibri" w:cs="Calibri"/>
                <w:color w:val="000000"/>
                <w:lang w:eastAsia="en-AU"/>
              </w:rPr>
              <w:t xml:space="preserve"> </w:t>
            </w:r>
          </w:p>
        </w:tc>
      </w:tr>
      <w:tr w:rsidR="00667809" w:rsidRPr="00417A0F" w:rsidTr="00667809">
        <w:trPr>
          <w:trHeight w:val="300"/>
        </w:trPr>
        <w:tc>
          <w:tcPr>
            <w:tcW w:w="1092" w:type="dxa"/>
            <w:tcBorders>
              <w:top w:val="single" w:sz="4" w:space="0" w:color="auto"/>
              <w:left w:val="single" w:sz="8" w:space="0" w:color="auto"/>
              <w:bottom w:val="single" w:sz="8" w:space="0" w:color="auto"/>
              <w:right w:val="single" w:sz="12" w:space="0" w:color="auto"/>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 </w:t>
            </w:r>
          </w:p>
        </w:tc>
        <w:tc>
          <w:tcPr>
            <w:tcW w:w="4571" w:type="dxa"/>
            <w:tcBorders>
              <w:top w:val="single" w:sz="4" w:space="0" w:color="auto"/>
              <w:left w:val="nil"/>
              <w:bottom w:val="single" w:sz="8" w:space="0" w:color="auto"/>
              <w:right w:val="single" w:sz="12" w:space="0" w:color="000000"/>
            </w:tcBorders>
            <w:shd w:val="clear" w:color="000000" w:fill="DDEBF7"/>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Total net electricity emissions (Location based)</w:t>
            </w:r>
          </w:p>
        </w:tc>
        <w:tc>
          <w:tcPr>
            <w:tcW w:w="996" w:type="dxa"/>
            <w:tcBorders>
              <w:top w:val="nil"/>
              <w:left w:val="nil"/>
              <w:bottom w:val="single" w:sz="8" w:space="0" w:color="auto"/>
              <w:right w:val="nil"/>
            </w:tcBorders>
            <w:shd w:val="clear" w:color="000000" w:fill="E7E6E6"/>
            <w:noWrap/>
            <w:vAlign w:val="bottom"/>
            <w:hideMark/>
          </w:tcPr>
          <w:p w:rsidR="00667809" w:rsidRPr="00417A0F" w:rsidRDefault="00667809" w:rsidP="00667809">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 </w:t>
            </w:r>
          </w:p>
        </w:tc>
        <w:tc>
          <w:tcPr>
            <w:tcW w:w="1184" w:type="dxa"/>
            <w:tcBorders>
              <w:top w:val="nil"/>
              <w:left w:val="nil"/>
              <w:bottom w:val="single" w:sz="8" w:space="0" w:color="auto"/>
              <w:right w:val="nil"/>
            </w:tcBorders>
            <w:shd w:val="clear" w:color="000000" w:fill="E7E6E6"/>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c>
          <w:tcPr>
            <w:tcW w:w="1355" w:type="dxa"/>
            <w:tcBorders>
              <w:top w:val="nil"/>
              <w:left w:val="nil"/>
              <w:bottom w:val="single" w:sz="8" w:space="0" w:color="auto"/>
              <w:right w:val="single" w:sz="8" w:space="0" w:color="auto"/>
            </w:tcBorders>
            <w:shd w:val="clear" w:color="000000" w:fill="CC99FF"/>
            <w:noWrap/>
            <w:vAlign w:val="bottom"/>
            <w:hideMark/>
          </w:tcPr>
          <w:p w:rsidR="00667809" w:rsidRPr="00417A0F" w:rsidRDefault="00667809" w:rsidP="00667809">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0.</w:t>
            </w:r>
            <w:r>
              <w:rPr>
                <w:rFonts w:ascii="Calibri" w:eastAsia="Times New Roman" w:hAnsi="Calibri" w:cs="Calibri"/>
                <w:color w:val="000000"/>
                <w:lang w:eastAsia="en-AU"/>
              </w:rPr>
              <w:t>39</w:t>
            </w:r>
            <w:r w:rsidRPr="00417A0F">
              <w:rPr>
                <w:rFonts w:ascii="Calibri" w:eastAsia="Times New Roman" w:hAnsi="Calibri" w:cs="Calibri"/>
                <w:color w:val="000000"/>
                <w:lang w:eastAsia="en-AU"/>
              </w:rPr>
              <w:t xml:space="preserve"> </w:t>
            </w:r>
          </w:p>
        </w:tc>
      </w:tr>
    </w:tbl>
    <w:p w:rsidR="00667809" w:rsidRPr="00524A3F" w:rsidRDefault="00667809" w:rsidP="00667809">
      <w:pPr>
        <w:widowControl w:val="0"/>
        <w:spacing w:after="120" w:line="240" w:lineRule="auto"/>
        <w:ind w:right="-1"/>
        <w:rPr>
          <w:color w:val="4F81BD" w:themeColor="accent1"/>
        </w:rPr>
        <w:sectPr w:rsidR="00667809" w:rsidRPr="00524A3F" w:rsidSect="00667809">
          <w:headerReference w:type="default" r:id="rId12"/>
          <w:footerReference w:type="default" r:id="rId13"/>
          <w:footerReference w:type="first" r:id="rId14"/>
          <w:pgSz w:w="11906" w:h="16838" w:code="9"/>
          <w:pgMar w:top="1134" w:right="1134" w:bottom="1134" w:left="1134" w:header="709" w:footer="709" w:gutter="0"/>
          <w:cols w:space="708"/>
          <w:titlePg/>
          <w:docGrid w:linePitch="360"/>
        </w:sectPr>
      </w:pPr>
    </w:p>
    <w:p w:rsidR="00667809" w:rsidRDefault="00667809" w:rsidP="00667809">
      <w:pPr>
        <w:pStyle w:val="Heading2"/>
        <w:rPr>
          <w:spacing w:val="-1"/>
          <w:u w:val="single"/>
        </w:rPr>
      </w:pPr>
      <w:bookmarkStart w:id="34" w:name="_Toc47885187"/>
      <w:r w:rsidRPr="008F67B9">
        <w:rPr>
          <w:spacing w:val="-1"/>
          <w:u w:val="single"/>
        </w:rPr>
        <w:t>Data collection of significant emissions</w:t>
      </w:r>
      <w:bookmarkEnd w:id="34"/>
      <w:r w:rsidRPr="008F67B9">
        <w:rPr>
          <w:spacing w:val="-1"/>
          <w:u w:val="single"/>
        </w:rPr>
        <w:t xml:space="preserve"> </w:t>
      </w:r>
    </w:p>
    <w:p w:rsidR="00D46B11" w:rsidRPr="00D46B11" w:rsidRDefault="00D46B11" w:rsidP="00D46B11">
      <w:pPr>
        <w:pStyle w:val="Heading3"/>
      </w:pPr>
      <w:bookmarkStart w:id="35" w:name="_Toc47885188"/>
      <w:r w:rsidRPr="008B64AA">
        <w:t>Table 6 Data collection of significant emissions</w:t>
      </w:r>
      <w:bookmarkEnd w:id="35"/>
    </w:p>
    <w:tbl>
      <w:tblPr>
        <w:tblStyle w:val="TableGrid"/>
        <w:tblW w:w="0" w:type="auto"/>
        <w:tblLook w:val="04A0" w:firstRow="1" w:lastRow="0" w:firstColumn="1" w:lastColumn="0" w:noHBand="0" w:noVBand="1"/>
      </w:tblPr>
      <w:tblGrid>
        <w:gridCol w:w="3209"/>
        <w:gridCol w:w="3209"/>
        <w:gridCol w:w="3210"/>
      </w:tblGrid>
      <w:tr w:rsidR="00667809" w:rsidTr="00902EE8">
        <w:trPr>
          <w:tblHeader/>
        </w:trPr>
        <w:tc>
          <w:tcPr>
            <w:tcW w:w="3209" w:type="dxa"/>
            <w:shd w:val="clear" w:color="auto" w:fill="C4BC96" w:themeFill="background2" w:themeFillShade="BF"/>
            <w:vAlign w:val="center"/>
          </w:tcPr>
          <w:p w:rsidR="00667809" w:rsidRDefault="00667809" w:rsidP="00667809">
            <w:pPr>
              <w:widowControl w:val="0"/>
              <w:tabs>
                <w:tab w:val="left" w:pos="397"/>
              </w:tabs>
              <w:spacing w:before="58"/>
              <w:rPr>
                <w:color w:val="0070C0"/>
              </w:rPr>
            </w:pPr>
            <w:bookmarkStart w:id="36" w:name="Title_10" w:colFirst="0" w:colLast="0"/>
            <w:r w:rsidRPr="00266C18">
              <w:rPr>
                <w:szCs w:val="20"/>
              </w:rPr>
              <w:t>Emission source</w:t>
            </w:r>
          </w:p>
        </w:tc>
        <w:tc>
          <w:tcPr>
            <w:tcW w:w="3209" w:type="dxa"/>
            <w:shd w:val="clear" w:color="auto" w:fill="C4BC96" w:themeFill="background2" w:themeFillShade="BF"/>
            <w:vAlign w:val="center"/>
          </w:tcPr>
          <w:p w:rsidR="00667809" w:rsidRDefault="00667809" w:rsidP="00667809">
            <w:pPr>
              <w:spacing w:before="120" w:after="120"/>
              <w:ind w:right="437"/>
              <w:rPr>
                <w:color w:val="0070C0"/>
              </w:rPr>
            </w:pPr>
            <w:r>
              <w:rPr>
                <w:szCs w:val="20"/>
              </w:rPr>
              <w:t>Data collection method</w:t>
            </w:r>
            <w:r w:rsidRPr="00266C18">
              <w:rPr>
                <w:szCs w:val="20"/>
              </w:rPr>
              <w:t xml:space="preserve"> </w:t>
            </w:r>
          </w:p>
        </w:tc>
        <w:tc>
          <w:tcPr>
            <w:tcW w:w="3210" w:type="dxa"/>
            <w:shd w:val="clear" w:color="auto" w:fill="C4BC96" w:themeFill="background2" w:themeFillShade="BF"/>
            <w:vAlign w:val="center"/>
          </w:tcPr>
          <w:p w:rsidR="00667809" w:rsidRDefault="00667809" w:rsidP="00667809">
            <w:pPr>
              <w:spacing w:before="120" w:after="120"/>
              <w:ind w:right="437"/>
              <w:rPr>
                <w:color w:val="0070C0"/>
              </w:rPr>
            </w:pPr>
            <w:r>
              <w:rPr>
                <w:szCs w:val="20"/>
              </w:rPr>
              <w:t>Assumptions</w:t>
            </w:r>
            <w:r w:rsidRPr="00266C18">
              <w:t xml:space="preserve">  </w:t>
            </w:r>
          </w:p>
        </w:tc>
      </w:tr>
      <w:bookmarkEnd w:id="36"/>
      <w:tr w:rsidR="00667809" w:rsidTr="00667809">
        <w:tc>
          <w:tcPr>
            <w:tcW w:w="3209" w:type="dxa"/>
          </w:tcPr>
          <w:p w:rsidR="00667809" w:rsidRDefault="00667809" w:rsidP="00667809">
            <w:pPr>
              <w:widowControl w:val="0"/>
              <w:tabs>
                <w:tab w:val="left" w:pos="397"/>
              </w:tabs>
              <w:spacing w:before="58"/>
              <w:rPr>
                <w:color w:val="0070C0"/>
              </w:rPr>
            </w:pPr>
            <w:r w:rsidRPr="00675C3A">
              <w:rPr>
                <w:color w:val="000000" w:themeColor="text1"/>
              </w:rPr>
              <w:t>Stationary Energy</w:t>
            </w:r>
          </w:p>
        </w:tc>
        <w:tc>
          <w:tcPr>
            <w:tcW w:w="3209" w:type="dxa"/>
          </w:tcPr>
          <w:p w:rsidR="00667809" w:rsidRDefault="00667809" w:rsidP="00667809">
            <w:pPr>
              <w:spacing w:before="120" w:after="120"/>
              <w:ind w:right="437"/>
              <w:rPr>
                <w:color w:val="0070C0"/>
              </w:rPr>
            </w:pPr>
            <w:r w:rsidRPr="00675C3A">
              <w:rPr>
                <w:color w:val="000000" w:themeColor="text1"/>
              </w:rPr>
              <w:t xml:space="preserve">Electricity and gas accounts collected for all events. </w:t>
            </w:r>
            <w:r>
              <w:rPr>
                <w:color w:val="000000" w:themeColor="text1"/>
              </w:rPr>
              <w:t xml:space="preserve">Diesel usage collected from event partner (VAEFNO). In a small number of cases where electricity accounts were not available from event partners, (lighting and sound) equipment used was researched for technical specs and energy use calculated from that.  </w:t>
            </w:r>
          </w:p>
        </w:tc>
        <w:tc>
          <w:tcPr>
            <w:tcW w:w="3210" w:type="dxa"/>
          </w:tcPr>
          <w:p w:rsidR="00667809" w:rsidRDefault="00667809" w:rsidP="00667809">
            <w:pPr>
              <w:spacing w:before="120" w:after="120"/>
              <w:ind w:right="437"/>
              <w:rPr>
                <w:color w:val="0070C0"/>
              </w:rPr>
            </w:pPr>
          </w:p>
        </w:tc>
      </w:tr>
      <w:tr w:rsidR="00667809" w:rsidTr="00667809">
        <w:tc>
          <w:tcPr>
            <w:tcW w:w="3209" w:type="dxa"/>
          </w:tcPr>
          <w:p w:rsidR="00667809" w:rsidRPr="00535AE1" w:rsidRDefault="00667809" w:rsidP="00667809">
            <w:pPr>
              <w:widowControl w:val="0"/>
              <w:tabs>
                <w:tab w:val="left" w:pos="397"/>
              </w:tabs>
              <w:spacing w:before="58"/>
              <w:rPr>
                <w:color w:val="000000" w:themeColor="text1"/>
              </w:rPr>
            </w:pPr>
            <w:r w:rsidRPr="00535AE1">
              <w:rPr>
                <w:color w:val="000000" w:themeColor="text1"/>
              </w:rPr>
              <w:t>Food and Drinks</w:t>
            </w:r>
          </w:p>
        </w:tc>
        <w:tc>
          <w:tcPr>
            <w:tcW w:w="3209" w:type="dxa"/>
          </w:tcPr>
          <w:p w:rsidR="00667809" w:rsidRPr="00535AE1" w:rsidRDefault="00667809" w:rsidP="00667809">
            <w:pPr>
              <w:spacing w:before="120" w:after="120"/>
              <w:ind w:right="437"/>
              <w:rPr>
                <w:color w:val="000000" w:themeColor="text1"/>
              </w:rPr>
            </w:pPr>
            <w:r w:rsidRPr="00535AE1">
              <w:rPr>
                <w:color w:val="000000" w:themeColor="text1"/>
              </w:rPr>
              <w:t xml:space="preserve">All beverage </w:t>
            </w:r>
            <w:r>
              <w:rPr>
                <w:color w:val="000000" w:themeColor="text1"/>
              </w:rPr>
              <w:t>consumption figures were</w:t>
            </w:r>
            <w:r w:rsidRPr="00535AE1">
              <w:rPr>
                <w:color w:val="000000" w:themeColor="text1"/>
              </w:rPr>
              <w:t xml:space="preserve"> collected from bars and all food information was reported by catering companies or partners</w:t>
            </w:r>
            <w:r>
              <w:rPr>
                <w:color w:val="000000" w:themeColor="text1"/>
              </w:rPr>
              <w:t>.</w:t>
            </w:r>
          </w:p>
        </w:tc>
        <w:tc>
          <w:tcPr>
            <w:tcW w:w="3210" w:type="dxa"/>
          </w:tcPr>
          <w:p w:rsidR="00667809" w:rsidRDefault="00667809" w:rsidP="00667809">
            <w:pPr>
              <w:spacing w:before="120" w:after="120"/>
              <w:ind w:right="437"/>
              <w:rPr>
                <w:color w:val="0070C0"/>
              </w:rPr>
            </w:pPr>
          </w:p>
        </w:tc>
      </w:tr>
      <w:tr w:rsidR="00667809" w:rsidTr="00667809">
        <w:tc>
          <w:tcPr>
            <w:tcW w:w="3209" w:type="dxa"/>
          </w:tcPr>
          <w:p w:rsidR="00667809" w:rsidRDefault="00667809" w:rsidP="00667809">
            <w:pPr>
              <w:widowControl w:val="0"/>
              <w:tabs>
                <w:tab w:val="left" w:pos="397"/>
              </w:tabs>
              <w:spacing w:before="58"/>
              <w:rPr>
                <w:color w:val="0070C0"/>
              </w:rPr>
            </w:pPr>
            <w:r w:rsidRPr="00675C3A">
              <w:rPr>
                <w:color w:val="000000" w:themeColor="text1"/>
              </w:rPr>
              <w:t>Attendee Travel</w:t>
            </w:r>
          </w:p>
        </w:tc>
        <w:tc>
          <w:tcPr>
            <w:tcW w:w="3209" w:type="dxa"/>
          </w:tcPr>
          <w:p w:rsidR="00667809" w:rsidRDefault="00667809" w:rsidP="00667809">
            <w:pPr>
              <w:spacing w:before="120" w:after="120"/>
              <w:ind w:right="437"/>
              <w:rPr>
                <w:color w:val="0070C0"/>
              </w:rPr>
            </w:pPr>
            <w:r>
              <w:rPr>
                <w:color w:val="000000" w:themeColor="text1"/>
              </w:rPr>
              <w:t>A sample of 463 attendees was</w:t>
            </w:r>
            <w:r w:rsidRPr="00675C3A">
              <w:rPr>
                <w:color w:val="000000" w:themeColor="text1"/>
              </w:rPr>
              <w:t xml:space="preserve"> asked what mode or travel they used to attend Melbourne </w:t>
            </w:r>
            <w:r>
              <w:rPr>
                <w:color w:val="000000" w:themeColor="text1"/>
              </w:rPr>
              <w:t>Fashion</w:t>
            </w:r>
            <w:r w:rsidRPr="00675C3A">
              <w:rPr>
                <w:color w:val="000000" w:themeColor="text1"/>
              </w:rPr>
              <w:t xml:space="preserve"> Week and what the postcode of their origin was. Distance travelled was multiplied by an emissions factor for the selected mode (car, train, tram, walk, cycle, motorcycle). The sample was then extrapolated out over the whole number of Melbourne </w:t>
            </w:r>
            <w:r>
              <w:rPr>
                <w:color w:val="000000" w:themeColor="text1"/>
              </w:rPr>
              <w:t>fashion</w:t>
            </w:r>
            <w:r w:rsidRPr="00675C3A">
              <w:rPr>
                <w:color w:val="000000" w:themeColor="text1"/>
              </w:rPr>
              <w:t xml:space="preserve"> Week attendees</w:t>
            </w:r>
            <w:r>
              <w:rPr>
                <w:color w:val="000000" w:themeColor="text1"/>
              </w:rPr>
              <w:t>.</w:t>
            </w:r>
          </w:p>
        </w:tc>
        <w:tc>
          <w:tcPr>
            <w:tcW w:w="3210" w:type="dxa"/>
          </w:tcPr>
          <w:p w:rsidR="00667809" w:rsidRPr="005C7421" w:rsidRDefault="00667809" w:rsidP="00667809">
            <w:pPr>
              <w:spacing w:before="120" w:after="120"/>
              <w:ind w:right="437"/>
              <w:rPr>
                <w:color w:val="0070C0"/>
              </w:rPr>
            </w:pPr>
            <w:r w:rsidRPr="005C7421">
              <w:rPr>
                <w:color w:val="000000" w:themeColor="text1"/>
              </w:rPr>
              <w:t xml:space="preserve">The City of Melbourne developed a ‘transport attribution factor’ which determines the amount of an attendees transport emissions which should be attributed to the Melbourne </w:t>
            </w:r>
            <w:r>
              <w:rPr>
                <w:color w:val="000000" w:themeColor="text1"/>
              </w:rPr>
              <w:t>Fashion</w:t>
            </w:r>
            <w:r w:rsidRPr="005C7421">
              <w:rPr>
                <w:color w:val="000000" w:themeColor="text1"/>
              </w:rPr>
              <w:t xml:space="preserve"> Week inventory. In 2019 there were </w:t>
            </w:r>
            <w:r>
              <w:rPr>
                <w:color w:val="000000" w:themeColor="text1"/>
              </w:rPr>
              <w:t xml:space="preserve">four </w:t>
            </w:r>
            <w:r w:rsidRPr="005C7421">
              <w:rPr>
                <w:color w:val="000000" w:themeColor="text1"/>
              </w:rPr>
              <w:t xml:space="preserve">identified cohorts of attendees – </w:t>
            </w:r>
            <w:r w:rsidRPr="005C7421">
              <w:rPr>
                <w:color w:val="000000" w:themeColor="text1"/>
              </w:rPr>
              <w:br/>
              <w:t xml:space="preserve">1. Those who purchased a ticket to an event. 100% of this cohorts transport emissions were attributed. </w:t>
            </w:r>
            <w:r w:rsidRPr="005C7421">
              <w:rPr>
                <w:color w:val="000000" w:themeColor="text1"/>
              </w:rPr>
              <w:br/>
              <w:t>2. Those who att</w:t>
            </w:r>
            <w:r>
              <w:rPr>
                <w:color w:val="000000" w:themeColor="text1"/>
              </w:rPr>
              <w:t>ended a free event in a venue 75</w:t>
            </w:r>
            <w:r w:rsidRPr="005C7421">
              <w:rPr>
                <w:color w:val="000000" w:themeColor="text1"/>
              </w:rPr>
              <w:t xml:space="preserve">% of this cohorts travel emissions were </w:t>
            </w:r>
            <w:r>
              <w:rPr>
                <w:color w:val="000000" w:themeColor="text1"/>
              </w:rPr>
              <w:t>attributed. 75</w:t>
            </w:r>
            <w:r w:rsidRPr="005C7421">
              <w:rPr>
                <w:color w:val="000000" w:themeColor="text1"/>
              </w:rPr>
              <w:t xml:space="preserve">% is the proportion of surveyed attendees across the whole event who said that attending </w:t>
            </w:r>
            <w:r>
              <w:rPr>
                <w:color w:val="000000" w:themeColor="text1"/>
              </w:rPr>
              <w:t xml:space="preserve">a </w:t>
            </w:r>
            <w:r w:rsidRPr="005C7421">
              <w:rPr>
                <w:color w:val="000000" w:themeColor="text1"/>
              </w:rPr>
              <w:t xml:space="preserve">Melbourne </w:t>
            </w:r>
            <w:r>
              <w:rPr>
                <w:color w:val="000000" w:themeColor="text1"/>
              </w:rPr>
              <w:t>Fashion</w:t>
            </w:r>
            <w:r w:rsidRPr="005C7421">
              <w:rPr>
                <w:color w:val="000000" w:themeColor="text1"/>
              </w:rPr>
              <w:t xml:space="preserve"> Week </w:t>
            </w:r>
            <w:r>
              <w:rPr>
                <w:color w:val="000000" w:themeColor="text1"/>
              </w:rPr>
              <w:t xml:space="preserve">event </w:t>
            </w:r>
            <w:r w:rsidRPr="005C7421">
              <w:rPr>
                <w:color w:val="000000" w:themeColor="text1"/>
              </w:rPr>
              <w:t>was the main reason for their travel on that day.</w:t>
            </w:r>
            <w:r>
              <w:rPr>
                <w:color w:val="000000" w:themeColor="text1"/>
              </w:rPr>
              <w:t xml:space="preserve"> </w:t>
            </w:r>
            <w:r>
              <w:rPr>
                <w:color w:val="000000" w:themeColor="text1"/>
              </w:rPr>
              <w:br/>
              <w:t xml:space="preserve">3. Those who were counted at the Vogue American Express Fashion Night Out (VAEFNO) but outside the marquee (non-ticket holders) only had 25% of their travel emissions attributed </w:t>
            </w:r>
            <w:r>
              <w:rPr>
                <w:color w:val="000000" w:themeColor="text1"/>
              </w:rPr>
              <w:br/>
              <w:t>4. Those counted in the VAEFNO precinct uplift (increase from baseline in pedestrian count in shopping centres in the city during VAEFNO) only had 10% of their emissions attributed. This cohort is only tangentially linked to Melbourne Fashion Week.</w:t>
            </w:r>
          </w:p>
        </w:tc>
      </w:tr>
      <w:tr w:rsidR="00667809" w:rsidTr="00667809">
        <w:tc>
          <w:tcPr>
            <w:tcW w:w="3209" w:type="dxa"/>
          </w:tcPr>
          <w:p w:rsidR="00667809" w:rsidRPr="00115D82" w:rsidRDefault="00667809" w:rsidP="00667809">
            <w:pPr>
              <w:widowControl w:val="0"/>
              <w:tabs>
                <w:tab w:val="left" w:pos="397"/>
              </w:tabs>
              <w:spacing w:before="58"/>
              <w:rPr>
                <w:color w:val="000000" w:themeColor="text1"/>
              </w:rPr>
            </w:pPr>
            <w:r w:rsidRPr="00115D82">
              <w:rPr>
                <w:color w:val="000000" w:themeColor="text1"/>
              </w:rPr>
              <w:t>Participant Travel</w:t>
            </w:r>
          </w:p>
        </w:tc>
        <w:tc>
          <w:tcPr>
            <w:tcW w:w="3209" w:type="dxa"/>
          </w:tcPr>
          <w:p w:rsidR="00667809" w:rsidRPr="00115D82" w:rsidRDefault="00667809" w:rsidP="00667809">
            <w:pPr>
              <w:spacing w:before="120" w:after="120"/>
              <w:ind w:right="437"/>
              <w:rPr>
                <w:color w:val="000000" w:themeColor="text1"/>
              </w:rPr>
            </w:pPr>
            <w:r w:rsidRPr="00115D82">
              <w:rPr>
                <w:color w:val="000000" w:themeColor="text1"/>
              </w:rPr>
              <w:t>All flights booked through the City of Melbourne corporate traveller account were collected. All other interstate and overseas participants</w:t>
            </w:r>
            <w:r>
              <w:rPr>
                <w:color w:val="000000" w:themeColor="text1"/>
              </w:rPr>
              <w:t xml:space="preserve"> (models, designers, partners and sponsors)</w:t>
            </w:r>
            <w:r w:rsidRPr="00115D82">
              <w:rPr>
                <w:color w:val="000000" w:themeColor="text1"/>
              </w:rPr>
              <w:t xml:space="preserve"> reported their orig</w:t>
            </w:r>
            <w:r>
              <w:rPr>
                <w:color w:val="000000" w:themeColor="text1"/>
              </w:rPr>
              <w:t xml:space="preserve">in of travel and emissions </w:t>
            </w:r>
            <w:r w:rsidRPr="00115D82">
              <w:rPr>
                <w:color w:val="000000" w:themeColor="text1"/>
              </w:rPr>
              <w:t>calculate</w:t>
            </w:r>
            <w:r>
              <w:rPr>
                <w:color w:val="000000" w:themeColor="text1"/>
              </w:rPr>
              <w:t>d</w:t>
            </w:r>
            <w:r w:rsidRPr="00115D82">
              <w:rPr>
                <w:color w:val="000000" w:themeColor="text1"/>
              </w:rPr>
              <w:t xml:space="preserve"> from flight miles</w:t>
            </w:r>
            <w:r>
              <w:rPr>
                <w:color w:val="000000" w:themeColor="text1"/>
              </w:rPr>
              <w:t>.</w:t>
            </w:r>
          </w:p>
        </w:tc>
        <w:tc>
          <w:tcPr>
            <w:tcW w:w="3210" w:type="dxa"/>
          </w:tcPr>
          <w:p w:rsidR="00667809" w:rsidRDefault="00667809" w:rsidP="00667809">
            <w:pPr>
              <w:spacing w:before="120" w:after="120"/>
              <w:ind w:right="437"/>
              <w:rPr>
                <w:color w:val="0070C0"/>
              </w:rPr>
            </w:pPr>
          </w:p>
        </w:tc>
      </w:tr>
      <w:tr w:rsidR="00667809" w:rsidTr="00667809">
        <w:tc>
          <w:tcPr>
            <w:tcW w:w="3209" w:type="dxa"/>
          </w:tcPr>
          <w:p w:rsidR="00667809" w:rsidRPr="00115D82" w:rsidRDefault="00667809" w:rsidP="00667809">
            <w:pPr>
              <w:widowControl w:val="0"/>
              <w:tabs>
                <w:tab w:val="left" w:pos="397"/>
              </w:tabs>
              <w:spacing w:before="58"/>
              <w:rPr>
                <w:color w:val="000000" w:themeColor="text1"/>
              </w:rPr>
            </w:pPr>
            <w:r w:rsidRPr="00115D82">
              <w:rPr>
                <w:color w:val="000000" w:themeColor="text1"/>
              </w:rPr>
              <w:t>Participant Accommodation</w:t>
            </w:r>
          </w:p>
        </w:tc>
        <w:tc>
          <w:tcPr>
            <w:tcW w:w="3209" w:type="dxa"/>
          </w:tcPr>
          <w:p w:rsidR="00667809" w:rsidRPr="00115D82" w:rsidRDefault="00667809" w:rsidP="00667809">
            <w:pPr>
              <w:spacing w:before="120" w:after="120"/>
              <w:ind w:right="437"/>
              <w:rPr>
                <w:color w:val="000000" w:themeColor="text1"/>
              </w:rPr>
            </w:pPr>
            <w:r>
              <w:rPr>
                <w:color w:val="000000" w:themeColor="text1"/>
              </w:rPr>
              <w:t>All interstate and overseas participants (models, designers, partners and sponsors) completed a form indicating the number of nights stayed in Melbourne during Melbourne Fashion Week.</w:t>
            </w:r>
          </w:p>
        </w:tc>
        <w:tc>
          <w:tcPr>
            <w:tcW w:w="3210" w:type="dxa"/>
          </w:tcPr>
          <w:p w:rsidR="00667809" w:rsidRPr="00115D82" w:rsidRDefault="00667809" w:rsidP="00667809">
            <w:pPr>
              <w:spacing w:before="120" w:after="120"/>
              <w:ind w:right="437"/>
              <w:rPr>
                <w:color w:val="000000" w:themeColor="text1"/>
              </w:rPr>
            </w:pPr>
          </w:p>
        </w:tc>
      </w:tr>
    </w:tbl>
    <w:p w:rsidR="00D46B11" w:rsidRDefault="00D46B11">
      <w:pPr>
        <w:spacing w:before="0" w:after="0" w:line="240" w:lineRule="auto"/>
        <w:rPr>
          <w:rFonts w:ascii="Arial Bold" w:eastAsia="MS Gothic" w:hAnsi="Arial Bold"/>
          <w:bCs/>
          <w:spacing w:val="-1"/>
          <w:sz w:val="28"/>
          <w:szCs w:val="28"/>
          <w:lang w:val="en-US"/>
        </w:rPr>
      </w:pPr>
      <w:r>
        <w:rPr>
          <w:spacing w:val="-1"/>
          <w:szCs w:val="28"/>
        </w:rPr>
        <w:br w:type="page"/>
      </w:r>
    </w:p>
    <w:p w:rsidR="00667809" w:rsidRPr="0053548B" w:rsidRDefault="00667809" w:rsidP="00667809">
      <w:pPr>
        <w:pStyle w:val="Heading1"/>
        <w:rPr>
          <w:spacing w:val="-1"/>
          <w:szCs w:val="28"/>
        </w:rPr>
      </w:pPr>
      <w:bookmarkStart w:id="37" w:name="_Toc47885189"/>
      <w:r w:rsidRPr="0053548B">
        <w:rPr>
          <w:spacing w:val="-1"/>
          <w:szCs w:val="28"/>
        </w:rPr>
        <w:t>4. Carbon offsets</w:t>
      </w:r>
      <w:bookmarkEnd w:id="37"/>
    </w:p>
    <w:p w:rsidR="00667809" w:rsidRPr="00D46B11" w:rsidRDefault="00667809" w:rsidP="00667809">
      <w:pPr>
        <w:pStyle w:val="Heading2"/>
        <w:rPr>
          <w:color w:val="000000" w:themeColor="text1"/>
        </w:rPr>
      </w:pPr>
      <w:bookmarkStart w:id="38" w:name="_Toc47885190"/>
      <w:r w:rsidRPr="00D46B11">
        <w:rPr>
          <w:spacing w:val="-1"/>
        </w:rPr>
        <w:t>Offset purchasing strategy</w:t>
      </w:r>
      <w:bookmarkEnd w:id="38"/>
    </w:p>
    <w:p w:rsidR="00667809" w:rsidRPr="00F77B5E" w:rsidRDefault="00D46B11" w:rsidP="00D46B11">
      <w:pPr>
        <w:pStyle w:val="Heading3"/>
        <w:rPr>
          <w:b/>
          <w:color w:val="000000" w:themeColor="text1"/>
        </w:rPr>
      </w:pPr>
      <w:bookmarkStart w:id="39" w:name="_Toc47885191"/>
      <w:r w:rsidRPr="007F354A">
        <w:t xml:space="preserve">Table </w:t>
      </w:r>
      <w:r>
        <w:t>7</w:t>
      </w:r>
      <w:r w:rsidRPr="007F354A">
        <w:t xml:space="preserve"> Forward purchasing summary</w:t>
      </w:r>
      <w:bookmarkEnd w:id="39"/>
    </w:p>
    <w:tbl>
      <w:tblPr>
        <w:tblStyle w:val="TableGrid"/>
        <w:tblW w:w="0" w:type="auto"/>
        <w:tblLook w:val="04A0" w:firstRow="1" w:lastRow="0" w:firstColumn="1" w:lastColumn="0" w:noHBand="0" w:noVBand="1"/>
      </w:tblPr>
      <w:tblGrid>
        <w:gridCol w:w="3397"/>
        <w:gridCol w:w="851"/>
      </w:tblGrid>
      <w:tr w:rsidR="00667809" w:rsidRPr="00F77B5E" w:rsidTr="00667809">
        <w:tc>
          <w:tcPr>
            <w:tcW w:w="3397" w:type="dxa"/>
          </w:tcPr>
          <w:p w:rsidR="00667809" w:rsidRDefault="00667809" w:rsidP="00667809">
            <w:pPr>
              <w:widowControl w:val="0"/>
              <w:spacing w:line="277" w:lineRule="auto"/>
              <w:rPr>
                <w:color w:val="000000" w:themeColor="text1"/>
                <w:lang w:val="en-US"/>
              </w:rPr>
            </w:pPr>
            <w:bookmarkStart w:id="40" w:name="RowTitle_11" w:colFirst="0" w:colLast="0"/>
            <w:r>
              <w:rPr>
                <w:color w:val="000000" w:themeColor="text1"/>
                <w:lang w:val="en-US"/>
              </w:rPr>
              <w:t xml:space="preserve">1. </w:t>
            </w:r>
            <w:r w:rsidRPr="006E7937">
              <w:rPr>
                <w:color w:val="000000" w:themeColor="text1"/>
                <w:lang w:val="en-US"/>
              </w:rPr>
              <w:t>Total offsets</w:t>
            </w:r>
            <w:r>
              <w:rPr>
                <w:color w:val="000000" w:themeColor="text1"/>
                <w:lang w:val="en-US"/>
              </w:rPr>
              <w:t xml:space="preserve"> previously forward</w:t>
            </w:r>
            <w:r w:rsidRPr="006E7937">
              <w:rPr>
                <w:color w:val="000000" w:themeColor="text1"/>
                <w:lang w:val="en-US"/>
              </w:rPr>
              <w:t xml:space="preserve"> purchased </w:t>
            </w:r>
            <w:r>
              <w:rPr>
                <w:color w:val="000000" w:themeColor="text1"/>
                <w:lang w:val="en-US"/>
              </w:rPr>
              <w:t xml:space="preserve">for this event </w:t>
            </w:r>
          </w:p>
        </w:tc>
        <w:tc>
          <w:tcPr>
            <w:tcW w:w="851" w:type="dxa"/>
            <w:tcBorders>
              <w:right w:val="single" w:sz="4" w:space="0" w:color="auto"/>
            </w:tcBorders>
          </w:tcPr>
          <w:p w:rsidR="00667809" w:rsidRDefault="00667809" w:rsidP="00667809">
            <w:pPr>
              <w:widowControl w:val="0"/>
              <w:spacing w:line="277" w:lineRule="auto"/>
              <w:rPr>
                <w:color w:val="000000" w:themeColor="text1"/>
                <w:lang w:val="en-US"/>
              </w:rPr>
            </w:pPr>
            <w:r>
              <w:rPr>
                <w:color w:val="000000" w:themeColor="text1"/>
                <w:lang w:val="en-US"/>
              </w:rPr>
              <w:t>647</w:t>
            </w:r>
          </w:p>
        </w:tc>
      </w:tr>
      <w:tr w:rsidR="00667809" w:rsidRPr="00F77B5E" w:rsidTr="00667809">
        <w:tc>
          <w:tcPr>
            <w:tcW w:w="3397" w:type="dxa"/>
          </w:tcPr>
          <w:p w:rsidR="00667809" w:rsidRDefault="00667809" w:rsidP="00667809">
            <w:pPr>
              <w:widowControl w:val="0"/>
              <w:spacing w:line="277" w:lineRule="auto"/>
              <w:rPr>
                <w:color w:val="000000" w:themeColor="text1"/>
                <w:lang w:val="en-US"/>
              </w:rPr>
            </w:pPr>
            <w:r>
              <w:rPr>
                <w:color w:val="000000" w:themeColor="text1"/>
                <w:lang w:val="en-US"/>
              </w:rPr>
              <w:t>2. Total offsets required for this reporting period</w:t>
            </w:r>
          </w:p>
        </w:tc>
        <w:tc>
          <w:tcPr>
            <w:tcW w:w="851" w:type="dxa"/>
            <w:tcBorders>
              <w:right w:val="single" w:sz="4" w:space="0" w:color="auto"/>
            </w:tcBorders>
          </w:tcPr>
          <w:p w:rsidR="00667809" w:rsidRDefault="00667809" w:rsidP="00667809">
            <w:pPr>
              <w:widowControl w:val="0"/>
              <w:spacing w:line="277" w:lineRule="auto"/>
              <w:rPr>
                <w:color w:val="000000" w:themeColor="text1"/>
                <w:lang w:val="en-US"/>
              </w:rPr>
            </w:pPr>
            <w:r>
              <w:rPr>
                <w:color w:val="000000" w:themeColor="text1"/>
                <w:lang w:val="en-US"/>
              </w:rPr>
              <w:t>773</w:t>
            </w:r>
          </w:p>
        </w:tc>
      </w:tr>
      <w:tr w:rsidR="00667809" w:rsidTr="00667809">
        <w:tc>
          <w:tcPr>
            <w:tcW w:w="3397" w:type="dxa"/>
          </w:tcPr>
          <w:p w:rsidR="00667809" w:rsidRDefault="00667809" w:rsidP="00667809">
            <w:pPr>
              <w:widowControl w:val="0"/>
              <w:spacing w:line="277" w:lineRule="auto"/>
              <w:rPr>
                <w:color w:val="000000" w:themeColor="text1"/>
                <w:lang w:val="en-US"/>
              </w:rPr>
            </w:pPr>
            <w:r>
              <w:rPr>
                <w:color w:val="000000" w:themeColor="text1"/>
                <w:lang w:val="en-US"/>
              </w:rPr>
              <w:t>3. Net offset balance for this reporting period</w:t>
            </w:r>
          </w:p>
        </w:tc>
        <w:tc>
          <w:tcPr>
            <w:tcW w:w="851" w:type="dxa"/>
            <w:tcBorders>
              <w:right w:val="single" w:sz="4" w:space="0" w:color="auto"/>
            </w:tcBorders>
          </w:tcPr>
          <w:p w:rsidR="00667809" w:rsidRDefault="00667809" w:rsidP="00667809">
            <w:pPr>
              <w:widowControl w:val="0"/>
              <w:spacing w:line="277" w:lineRule="auto"/>
              <w:rPr>
                <w:color w:val="000000" w:themeColor="text1"/>
                <w:lang w:val="en-US"/>
              </w:rPr>
            </w:pPr>
            <w:r>
              <w:rPr>
                <w:color w:val="000000" w:themeColor="text1"/>
                <w:lang w:val="en-US"/>
              </w:rPr>
              <w:t>-126</w:t>
            </w:r>
          </w:p>
        </w:tc>
      </w:tr>
      <w:bookmarkEnd w:id="40"/>
    </w:tbl>
    <w:p w:rsidR="00667809" w:rsidRDefault="00667809" w:rsidP="00667809">
      <w:pPr>
        <w:rPr>
          <w:color w:val="4F81BD" w:themeColor="accent1"/>
          <w:lang w:val="en-US"/>
        </w:rPr>
        <w:sectPr w:rsidR="00667809" w:rsidSect="00667809">
          <w:headerReference w:type="default"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p>
    <w:p w:rsidR="00667809" w:rsidRPr="008D59D4" w:rsidRDefault="00F608ED" w:rsidP="00F608ED">
      <w:pPr>
        <w:pStyle w:val="Heading3"/>
        <w:rPr>
          <w:rFonts w:eastAsia="Calibri" w:cs="Calibri"/>
        </w:rPr>
      </w:pPr>
      <w:bookmarkStart w:id="41" w:name="_Toc47885192"/>
      <w:r w:rsidRPr="007F354A">
        <w:t>Table 8 Offset Summary</w:t>
      </w:r>
      <w:bookmarkEnd w:id="41"/>
    </w:p>
    <w:tbl>
      <w:tblPr>
        <w:tblStyle w:val="TableGrid11"/>
        <w:tblW w:w="3913" w:type="pct"/>
        <w:tblLook w:val="04A0" w:firstRow="1" w:lastRow="0" w:firstColumn="1" w:lastColumn="0" w:noHBand="0" w:noVBand="1"/>
      </w:tblPr>
      <w:tblGrid>
        <w:gridCol w:w="9882"/>
        <w:gridCol w:w="1469"/>
      </w:tblGrid>
      <w:tr w:rsidR="00667809" w:rsidTr="00DA5DDE">
        <w:trPr>
          <w:cantSplit/>
        </w:trPr>
        <w:tc>
          <w:tcPr>
            <w:tcW w:w="4353"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b/>
                <w:i/>
                <w:color w:val="000000" w:themeColor="text1"/>
              </w:rPr>
            </w:pPr>
            <w:bookmarkStart w:id="42" w:name="RowTitle_12" w:colFirst="0" w:colLast="0"/>
            <w:r>
              <w:rPr>
                <w:b/>
                <w:i/>
                <w:color w:val="000000" w:themeColor="text1"/>
              </w:rPr>
              <w:t>1. Total offsets required for this report</w:t>
            </w:r>
          </w:p>
        </w:tc>
        <w:tc>
          <w:tcPr>
            <w:tcW w:w="647"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ind w:right="106"/>
              <w:rPr>
                <w:color w:val="000000" w:themeColor="text1"/>
                <w:sz w:val="20"/>
                <w:szCs w:val="20"/>
              </w:rPr>
            </w:pPr>
            <w:r w:rsidRPr="00FB419E">
              <w:rPr>
                <w:color w:val="000000" w:themeColor="text1"/>
                <w:lang w:val="en-US"/>
              </w:rPr>
              <w:t xml:space="preserve">773 </w:t>
            </w:r>
          </w:p>
        </w:tc>
      </w:tr>
      <w:tr w:rsidR="00667809" w:rsidTr="00DA5DDE">
        <w:trPr>
          <w:cantSplit/>
        </w:trPr>
        <w:tc>
          <w:tcPr>
            <w:tcW w:w="4353" w:type="pct"/>
            <w:tcBorders>
              <w:top w:val="single" w:sz="4" w:space="0" w:color="auto"/>
              <w:left w:val="single" w:sz="4" w:space="0" w:color="auto"/>
              <w:bottom w:val="single" w:sz="4" w:space="0" w:color="auto"/>
              <w:right w:val="single" w:sz="4" w:space="0" w:color="auto"/>
            </w:tcBorders>
            <w:hideMark/>
          </w:tcPr>
          <w:p w:rsidR="00667809" w:rsidRPr="00FB419E" w:rsidRDefault="00667809" w:rsidP="00667809">
            <w:pPr>
              <w:spacing w:before="120"/>
              <w:jc w:val="right"/>
              <w:rPr>
                <w:b/>
                <w:i/>
                <w:color w:val="000000" w:themeColor="text1"/>
                <w:sz w:val="20"/>
                <w:szCs w:val="20"/>
              </w:rPr>
            </w:pPr>
            <w:r w:rsidRPr="00FB419E">
              <w:rPr>
                <w:b/>
                <w:i/>
                <w:color w:val="000000" w:themeColor="text1"/>
              </w:rPr>
              <w:t>2. Offsets retired in previous reports and used in this report</w:t>
            </w:r>
          </w:p>
        </w:tc>
        <w:tc>
          <w:tcPr>
            <w:tcW w:w="647" w:type="pct"/>
            <w:tcBorders>
              <w:top w:val="single" w:sz="4" w:space="0" w:color="auto"/>
              <w:left w:val="single" w:sz="4" w:space="0" w:color="auto"/>
              <w:bottom w:val="single" w:sz="4" w:space="0" w:color="auto"/>
              <w:right w:val="single" w:sz="4" w:space="0" w:color="auto"/>
            </w:tcBorders>
            <w:hideMark/>
          </w:tcPr>
          <w:p w:rsidR="00667809" w:rsidRPr="00FB419E" w:rsidRDefault="00667809" w:rsidP="00667809">
            <w:pPr>
              <w:spacing w:before="120"/>
              <w:ind w:right="106"/>
              <w:rPr>
                <w:color w:val="000000" w:themeColor="text1"/>
                <w:lang w:val="en-US"/>
              </w:rPr>
            </w:pPr>
            <w:r w:rsidRPr="00FB419E">
              <w:rPr>
                <w:color w:val="000000" w:themeColor="text1"/>
                <w:lang w:val="en-US"/>
              </w:rPr>
              <w:t>647</w:t>
            </w:r>
          </w:p>
        </w:tc>
      </w:tr>
      <w:tr w:rsidR="00667809" w:rsidTr="00DA5DDE">
        <w:trPr>
          <w:cantSplit/>
        </w:trPr>
        <w:tc>
          <w:tcPr>
            <w:tcW w:w="4353"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b/>
                <w:i/>
                <w:color w:val="000000" w:themeColor="text1"/>
              </w:rPr>
            </w:pPr>
            <w:r>
              <w:rPr>
                <w:b/>
                <w:i/>
                <w:color w:val="000000" w:themeColor="text1"/>
              </w:rPr>
              <w:t>3. Net offsets required for this report</w:t>
            </w:r>
          </w:p>
        </w:tc>
        <w:tc>
          <w:tcPr>
            <w:tcW w:w="647"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ind w:right="106"/>
              <w:rPr>
                <w:color w:val="0070C0"/>
                <w:lang w:val="en-US"/>
              </w:rPr>
            </w:pPr>
            <w:r w:rsidRPr="00FB419E">
              <w:rPr>
                <w:color w:val="000000" w:themeColor="text1"/>
                <w:lang w:val="en-US"/>
              </w:rPr>
              <w:t>126</w:t>
            </w:r>
          </w:p>
        </w:tc>
      </w:tr>
      <w:bookmarkEnd w:id="42"/>
    </w:tbl>
    <w:p w:rsidR="00F608ED" w:rsidRDefault="00F608ED">
      <w:pPr>
        <w:spacing w:before="0" w:after="0" w:line="240" w:lineRule="auto"/>
      </w:pPr>
    </w:p>
    <w:tbl>
      <w:tblPr>
        <w:tblStyle w:val="TableGrid11"/>
        <w:tblW w:w="5000" w:type="pct"/>
        <w:tblLook w:val="04A0" w:firstRow="1" w:lastRow="0" w:firstColumn="1" w:lastColumn="0" w:noHBand="0" w:noVBand="1"/>
      </w:tblPr>
      <w:tblGrid>
        <w:gridCol w:w="1858"/>
        <w:gridCol w:w="1152"/>
        <w:gridCol w:w="1491"/>
        <w:gridCol w:w="1607"/>
        <w:gridCol w:w="2135"/>
        <w:gridCol w:w="1163"/>
        <w:gridCol w:w="1268"/>
        <w:gridCol w:w="1294"/>
        <w:gridCol w:w="1268"/>
        <w:gridCol w:w="1268"/>
      </w:tblGrid>
      <w:tr w:rsidR="00667809" w:rsidRPr="00EA185E" w:rsidTr="00F608ED">
        <w:trPr>
          <w:cantSplit/>
          <w:tblHeader/>
        </w:trPr>
        <w:tc>
          <w:tcPr>
            <w:tcW w:w="641"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bookmarkStart w:id="43" w:name="Title_13" w:colFirst="0" w:colLast="0"/>
            <w:r w:rsidRPr="00EA185E">
              <w:rPr>
                <w:b/>
                <w:iCs/>
                <w:sz w:val="20"/>
                <w:szCs w:val="20"/>
                <w:lang w:val="en-US"/>
              </w:rPr>
              <w:t>Project description</w:t>
            </w:r>
          </w:p>
        </w:tc>
        <w:tc>
          <w:tcPr>
            <w:tcW w:w="39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Eligible offset units type</w:t>
            </w:r>
          </w:p>
        </w:tc>
        <w:tc>
          <w:tcPr>
            <w:tcW w:w="514"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Registry unit retired in</w:t>
            </w:r>
          </w:p>
        </w:tc>
        <w:tc>
          <w:tcPr>
            <w:tcW w:w="554"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Date retired</w:t>
            </w:r>
          </w:p>
        </w:tc>
        <w:tc>
          <w:tcPr>
            <w:tcW w:w="736"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Serial number (including hyperlink to registry transaction record)</w:t>
            </w:r>
          </w:p>
        </w:tc>
        <w:tc>
          <w:tcPr>
            <w:tcW w:w="401"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 xml:space="preserve">Vintage </w:t>
            </w:r>
          </w:p>
        </w:tc>
        <w:tc>
          <w:tcPr>
            <w:tcW w:w="43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Quantity (</w:t>
            </w:r>
            <w:proofErr w:type="spellStart"/>
            <w:r w:rsidRPr="00EA185E">
              <w:rPr>
                <w:b/>
                <w:iCs/>
                <w:sz w:val="20"/>
                <w:szCs w:val="20"/>
                <w:lang w:val="en-US"/>
              </w:rPr>
              <w:t>tonnes</w:t>
            </w:r>
            <w:proofErr w:type="spellEnd"/>
            <w:r w:rsidRPr="00EA185E">
              <w:rPr>
                <w:b/>
                <w:iCs/>
                <w:sz w:val="20"/>
                <w:szCs w:val="20"/>
                <w:lang w:val="en-US"/>
              </w:rPr>
              <w:t xml:space="preserve"> CO2-e)</w:t>
            </w:r>
          </w:p>
        </w:tc>
        <w:tc>
          <w:tcPr>
            <w:tcW w:w="446" w:type="pct"/>
            <w:tcBorders>
              <w:top w:val="single" w:sz="4" w:space="0" w:color="auto"/>
              <w:left w:val="single" w:sz="4" w:space="0" w:color="auto"/>
              <w:bottom w:val="single" w:sz="4" w:space="0" w:color="auto"/>
              <w:right w:val="single" w:sz="4" w:space="0" w:color="auto"/>
            </w:tcBorders>
          </w:tcPr>
          <w:p w:rsidR="00667809" w:rsidRPr="00EA185E" w:rsidRDefault="00667809" w:rsidP="00667809">
            <w:pPr>
              <w:widowControl w:val="0"/>
              <w:spacing w:before="120"/>
              <w:rPr>
                <w:b/>
                <w:iCs/>
                <w:sz w:val="20"/>
                <w:szCs w:val="20"/>
                <w:lang w:val="en-US"/>
              </w:rPr>
            </w:pPr>
            <w:r w:rsidRPr="00EA185E">
              <w:rPr>
                <w:b/>
                <w:iCs/>
                <w:sz w:val="20"/>
                <w:szCs w:val="20"/>
                <w:lang w:val="en-US"/>
              </w:rPr>
              <w:t>Quantity used for previous report</w:t>
            </w:r>
          </w:p>
        </w:tc>
        <w:tc>
          <w:tcPr>
            <w:tcW w:w="43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 xml:space="preserve">Quantity to be banked for future years </w:t>
            </w:r>
          </w:p>
        </w:tc>
        <w:tc>
          <w:tcPr>
            <w:tcW w:w="43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Quantity to be used this report</w:t>
            </w:r>
          </w:p>
        </w:tc>
      </w:tr>
      <w:bookmarkEnd w:id="43"/>
      <w:tr w:rsidR="00667809" w:rsidTr="00F608ED">
        <w:trPr>
          <w:cantSplit/>
        </w:trPr>
        <w:tc>
          <w:tcPr>
            <w:tcW w:w="641"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rPr>
                <w:color w:val="0070C0"/>
                <w:lang w:val="en-US"/>
              </w:rPr>
            </w:pPr>
            <w:r w:rsidRPr="00503330">
              <w:t>Savannah burning projects located in the north of Australia</w:t>
            </w:r>
          </w:p>
        </w:tc>
        <w:tc>
          <w:tcPr>
            <w:tcW w:w="397"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 w:val="right" w:pos="8505"/>
              </w:tabs>
              <w:spacing w:before="120"/>
              <w:rPr>
                <w:color w:val="0070C0"/>
                <w:lang w:val="en-US"/>
              </w:rPr>
            </w:pPr>
            <w:r w:rsidRPr="00CA7D2C">
              <w:rPr>
                <w:color w:val="000000" w:themeColor="text1"/>
                <w:lang w:val="en-US"/>
              </w:rPr>
              <w:t>ACCU</w:t>
            </w:r>
          </w:p>
        </w:tc>
        <w:tc>
          <w:tcPr>
            <w:tcW w:w="514"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rPr>
                <w:color w:val="0070C0"/>
                <w:lang w:val="en-US"/>
              </w:rPr>
            </w:pPr>
            <w:r w:rsidRPr="00CA7D2C">
              <w:rPr>
                <w:color w:val="000000" w:themeColor="text1"/>
                <w:lang w:val="en-US"/>
              </w:rPr>
              <w:t>Emissions Reduction Fund</w:t>
            </w:r>
          </w:p>
        </w:tc>
        <w:tc>
          <w:tcPr>
            <w:tcW w:w="554"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rPr>
                <w:color w:val="0070C0"/>
                <w:lang w:val="en-US"/>
              </w:rPr>
            </w:pPr>
            <w:r>
              <w:rPr>
                <w:color w:val="000000" w:themeColor="text1"/>
              </w:rPr>
              <w:t>12/08/2019</w:t>
            </w:r>
          </w:p>
        </w:tc>
        <w:tc>
          <w:tcPr>
            <w:tcW w:w="736" w:type="pct"/>
            <w:tcBorders>
              <w:top w:val="single" w:sz="4" w:space="0" w:color="auto"/>
              <w:left w:val="single" w:sz="4" w:space="0" w:color="auto"/>
              <w:bottom w:val="single" w:sz="4" w:space="0" w:color="auto"/>
              <w:right w:val="single" w:sz="4" w:space="0" w:color="auto"/>
            </w:tcBorders>
            <w:hideMark/>
          </w:tcPr>
          <w:p w:rsidR="00667809" w:rsidRDefault="00DA5DDE" w:rsidP="00667809">
            <w:pPr>
              <w:tabs>
                <w:tab w:val="left" w:pos="300"/>
              </w:tabs>
              <w:spacing w:before="120"/>
              <w:rPr>
                <w:color w:val="0070C0"/>
                <w:lang w:val="en-US"/>
              </w:rPr>
            </w:pPr>
            <w:r>
              <w:rPr>
                <w:color w:val="000000" w:themeColor="text1"/>
              </w:rPr>
              <w:t>3,768,791,347</w:t>
            </w:r>
            <w:r w:rsidRPr="00CA7D2C">
              <w:rPr>
                <w:color w:val="000000" w:themeColor="text1"/>
              </w:rPr>
              <w:t xml:space="preserve"> - 3,768,791,</w:t>
            </w:r>
            <w:r>
              <w:rPr>
                <w:color w:val="000000" w:themeColor="text1"/>
              </w:rPr>
              <w:t>533</w:t>
            </w:r>
          </w:p>
        </w:tc>
        <w:tc>
          <w:tcPr>
            <w:tcW w:w="401"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jc w:val="right"/>
              <w:rPr>
                <w:color w:val="0070C0"/>
                <w:lang w:val="en-US"/>
              </w:rPr>
            </w:pPr>
            <w:r w:rsidRPr="00CA7D2C">
              <w:rPr>
                <w:color w:val="000000" w:themeColor="text1"/>
                <w:lang w:val="en-US"/>
              </w:rPr>
              <w:t>2013+</w:t>
            </w:r>
          </w:p>
        </w:tc>
        <w:tc>
          <w:tcPr>
            <w:tcW w:w="437"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jc w:val="right"/>
              <w:rPr>
                <w:color w:val="0070C0"/>
                <w:lang w:val="en-US"/>
              </w:rPr>
            </w:pPr>
            <w:r>
              <w:rPr>
                <w:color w:val="000000" w:themeColor="text1"/>
                <w:lang w:val="en-US"/>
              </w:rPr>
              <w:t>177</w:t>
            </w:r>
          </w:p>
        </w:tc>
        <w:tc>
          <w:tcPr>
            <w:tcW w:w="446" w:type="pct"/>
            <w:tcBorders>
              <w:top w:val="single" w:sz="4" w:space="0" w:color="auto"/>
              <w:left w:val="single" w:sz="4" w:space="0" w:color="auto"/>
              <w:bottom w:val="single" w:sz="4" w:space="0" w:color="auto"/>
              <w:right w:val="single" w:sz="4" w:space="0" w:color="auto"/>
            </w:tcBorders>
          </w:tcPr>
          <w:p w:rsidR="00667809" w:rsidRDefault="00667809" w:rsidP="00667809">
            <w:pPr>
              <w:tabs>
                <w:tab w:val="left" w:pos="300"/>
              </w:tabs>
              <w:spacing w:before="120"/>
              <w:jc w:val="right"/>
              <w:rPr>
                <w:color w:val="4F81BD" w:themeColor="accent1"/>
                <w:sz w:val="18"/>
                <w:szCs w:val="18"/>
              </w:rPr>
            </w:pPr>
            <w:r>
              <w:rPr>
                <w:color w:val="000000" w:themeColor="text1"/>
              </w:rPr>
              <w:t>177</w:t>
            </w:r>
          </w:p>
        </w:tc>
        <w:tc>
          <w:tcPr>
            <w:tcW w:w="437"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jc w:val="right"/>
              <w:rPr>
                <w:color w:val="4F81BD" w:themeColor="accent1"/>
                <w:sz w:val="18"/>
                <w:szCs w:val="18"/>
              </w:rPr>
            </w:pPr>
            <w:r w:rsidRPr="00CA7D2C">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jc w:val="right"/>
              <w:rPr>
                <w:color w:val="4F81BD" w:themeColor="accent1"/>
                <w:sz w:val="18"/>
                <w:szCs w:val="18"/>
              </w:rPr>
            </w:pPr>
            <w:r>
              <w:rPr>
                <w:color w:val="000000" w:themeColor="text1"/>
              </w:rPr>
              <w:t>177</w:t>
            </w:r>
          </w:p>
        </w:tc>
      </w:tr>
      <w:tr w:rsidR="00667809" w:rsidTr="00F608ED">
        <w:trPr>
          <w:cantSplit/>
        </w:trPr>
        <w:tc>
          <w:tcPr>
            <w:tcW w:w="641"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rPr>
                <w:color w:val="0070C0"/>
                <w:lang w:val="en-US"/>
              </w:rPr>
            </w:pPr>
            <w:r w:rsidRPr="00503330">
              <w:t>Human Induced Regeneration of Permanent Even Aged Native Forest projects registered under the Australian Emissions Reduction Fund and located in QLD and NSW</w:t>
            </w:r>
          </w:p>
        </w:tc>
        <w:tc>
          <w:tcPr>
            <w:tcW w:w="397"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300"/>
              </w:tabs>
              <w:spacing w:before="120"/>
              <w:rPr>
                <w:color w:val="0070C0"/>
                <w:lang w:val="en-US"/>
              </w:rPr>
            </w:pPr>
            <w:r w:rsidRPr="00503330">
              <w:t>ACCU</w:t>
            </w:r>
          </w:p>
        </w:tc>
        <w:tc>
          <w:tcPr>
            <w:tcW w:w="514"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rPr>
                <w:color w:val="0070C0"/>
                <w:lang w:val="en-US"/>
              </w:rPr>
            </w:pPr>
            <w:r>
              <w:t>Emissions Reduction Fund</w:t>
            </w:r>
          </w:p>
        </w:tc>
        <w:tc>
          <w:tcPr>
            <w:tcW w:w="554"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rPr>
                <w:color w:val="0070C0"/>
                <w:lang w:val="en-US"/>
              </w:rPr>
            </w:pPr>
            <w:r>
              <w:t>12/08/2019</w:t>
            </w:r>
          </w:p>
        </w:tc>
        <w:tc>
          <w:tcPr>
            <w:tcW w:w="736" w:type="pct"/>
            <w:tcBorders>
              <w:top w:val="single" w:sz="4" w:space="0" w:color="auto"/>
              <w:left w:val="single" w:sz="4" w:space="0" w:color="auto"/>
              <w:bottom w:val="single" w:sz="4" w:space="0" w:color="auto"/>
              <w:right w:val="single" w:sz="4" w:space="0" w:color="auto"/>
            </w:tcBorders>
            <w:hideMark/>
          </w:tcPr>
          <w:p w:rsidR="00667809" w:rsidRPr="00DA5DDE" w:rsidRDefault="00DA5DDE" w:rsidP="00667809">
            <w:pPr>
              <w:spacing w:before="120"/>
              <w:rPr>
                <w:rFonts w:asciiTheme="minorBidi" w:hAnsiTheme="minorBidi"/>
                <w:color w:val="0070C0"/>
                <w:lang w:val="en-US"/>
              </w:rPr>
            </w:pPr>
            <w:r w:rsidRPr="00DA5DDE">
              <w:rPr>
                <w:rFonts w:asciiTheme="minorBidi" w:hAnsiTheme="minorBidi"/>
                <w:color w:val="000000"/>
              </w:rPr>
              <w:t>3,765,445,486 - 3,765,445,715</w:t>
            </w:r>
          </w:p>
        </w:tc>
        <w:tc>
          <w:tcPr>
            <w:tcW w:w="401"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color w:val="0070C0"/>
                <w:lang w:val="en-US"/>
              </w:rPr>
            </w:pPr>
            <w:r w:rsidRPr="00503330">
              <w:t>2013+</w:t>
            </w:r>
          </w:p>
        </w:tc>
        <w:tc>
          <w:tcPr>
            <w:tcW w:w="437"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color w:val="0070C0"/>
                <w:lang w:val="en-US"/>
              </w:rPr>
            </w:pPr>
            <w:r w:rsidRPr="00503330">
              <w:t>230</w:t>
            </w:r>
          </w:p>
        </w:tc>
        <w:tc>
          <w:tcPr>
            <w:tcW w:w="446"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sidRPr="008A0002">
              <w:rPr>
                <w:color w:val="000000" w:themeColor="text1"/>
              </w:rPr>
              <w:t>230</w:t>
            </w:r>
          </w:p>
        </w:tc>
        <w:tc>
          <w:tcPr>
            <w:tcW w:w="437"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sidRPr="008A0002">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sidRPr="008A0002">
              <w:rPr>
                <w:color w:val="000000" w:themeColor="text1"/>
              </w:rPr>
              <w:t>230</w:t>
            </w:r>
          </w:p>
        </w:tc>
      </w:tr>
      <w:tr w:rsidR="00667809" w:rsidTr="00F608ED">
        <w:trPr>
          <w:cantSplit/>
        </w:trPr>
        <w:tc>
          <w:tcPr>
            <w:tcW w:w="641" w:type="pct"/>
            <w:tcBorders>
              <w:top w:val="single" w:sz="4" w:space="0" w:color="auto"/>
              <w:left w:val="single" w:sz="4" w:space="0" w:color="auto"/>
              <w:bottom w:val="single" w:sz="4" w:space="0" w:color="auto"/>
              <w:right w:val="single" w:sz="4" w:space="0" w:color="auto"/>
            </w:tcBorders>
            <w:hideMark/>
          </w:tcPr>
          <w:p w:rsidR="00667809" w:rsidRDefault="00667809" w:rsidP="00667809">
            <w:pPr>
              <w:tabs>
                <w:tab w:val="left" w:pos="2864"/>
              </w:tabs>
              <w:spacing w:before="120" w:after="40"/>
              <w:rPr>
                <w:color w:val="0070C0"/>
                <w:lang w:val="en-US"/>
              </w:rPr>
            </w:pPr>
            <w:r w:rsidRPr="00503330">
              <w:t>Wind Based Power Generation - India: Greenhouse emissions are avoided through displacing coal-fired electricity generation with renewable wind electricity generation</w:t>
            </w:r>
          </w:p>
        </w:tc>
        <w:tc>
          <w:tcPr>
            <w:tcW w:w="397" w:type="pct"/>
            <w:tcBorders>
              <w:top w:val="single" w:sz="4" w:space="0" w:color="auto"/>
              <w:left w:val="single" w:sz="4" w:space="0" w:color="auto"/>
              <w:bottom w:val="single" w:sz="4" w:space="0" w:color="auto"/>
              <w:right w:val="single" w:sz="4" w:space="0" w:color="auto"/>
            </w:tcBorders>
            <w:hideMark/>
          </w:tcPr>
          <w:p w:rsidR="00667809" w:rsidRPr="00FB419E" w:rsidRDefault="00667809" w:rsidP="00667809">
            <w:pPr>
              <w:tabs>
                <w:tab w:val="left" w:pos="300"/>
              </w:tabs>
              <w:spacing w:before="120"/>
              <w:rPr>
                <w:color w:val="000000" w:themeColor="text1"/>
                <w:lang w:val="en-US"/>
              </w:rPr>
            </w:pPr>
            <w:r w:rsidRPr="00FB419E">
              <w:rPr>
                <w:color w:val="000000" w:themeColor="text1"/>
              </w:rPr>
              <w:t>VCS</w:t>
            </w:r>
          </w:p>
        </w:tc>
        <w:tc>
          <w:tcPr>
            <w:tcW w:w="514" w:type="pct"/>
            <w:tcBorders>
              <w:top w:val="single" w:sz="4" w:space="0" w:color="auto"/>
              <w:left w:val="single" w:sz="4" w:space="0" w:color="auto"/>
              <w:bottom w:val="single" w:sz="4" w:space="0" w:color="auto"/>
              <w:right w:val="single" w:sz="4" w:space="0" w:color="auto"/>
            </w:tcBorders>
            <w:hideMark/>
          </w:tcPr>
          <w:p w:rsidR="00667809" w:rsidRPr="00FB419E" w:rsidRDefault="00667809" w:rsidP="00667809">
            <w:pPr>
              <w:spacing w:before="120"/>
              <w:rPr>
                <w:color w:val="000000" w:themeColor="text1"/>
                <w:lang w:val="en-US"/>
              </w:rPr>
            </w:pPr>
            <w:r w:rsidRPr="00FB419E">
              <w:rPr>
                <w:color w:val="000000" w:themeColor="text1"/>
                <w:lang w:val="en-US"/>
              </w:rPr>
              <w:t>APX-VCS</w:t>
            </w:r>
          </w:p>
        </w:tc>
        <w:tc>
          <w:tcPr>
            <w:tcW w:w="554"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rPr>
                <w:color w:val="0070C0"/>
                <w:lang w:val="en-US"/>
              </w:rPr>
            </w:pPr>
            <w:r>
              <w:t>11/08/2019</w:t>
            </w:r>
          </w:p>
        </w:tc>
        <w:tc>
          <w:tcPr>
            <w:tcW w:w="736" w:type="pct"/>
            <w:tcBorders>
              <w:top w:val="single" w:sz="4" w:space="0" w:color="auto"/>
              <w:left w:val="single" w:sz="4" w:space="0" w:color="auto"/>
              <w:bottom w:val="single" w:sz="4" w:space="0" w:color="auto"/>
              <w:right w:val="single" w:sz="4" w:space="0" w:color="auto"/>
            </w:tcBorders>
            <w:hideMark/>
          </w:tcPr>
          <w:p w:rsidR="00667809" w:rsidRPr="00A71927" w:rsidRDefault="00A71927" w:rsidP="00667809">
            <w:pPr>
              <w:spacing w:before="120"/>
              <w:rPr>
                <w:rFonts w:asciiTheme="minorBidi" w:hAnsiTheme="minorBidi"/>
                <w:color w:val="0070C0"/>
                <w:lang w:val="en-US"/>
              </w:rPr>
            </w:pPr>
            <w:r w:rsidRPr="00A71927">
              <w:rPr>
                <w:rFonts w:asciiTheme="minorBidi" w:hAnsiTheme="minorBidi"/>
                <w:color w:val="000000"/>
              </w:rPr>
              <w:t>5744-257521379-257521608-VCU-034-MER-IN-1-1447-01012015-31122015-0</w:t>
            </w:r>
          </w:p>
        </w:tc>
        <w:tc>
          <w:tcPr>
            <w:tcW w:w="401"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color w:val="0070C0"/>
                <w:lang w:val="en-US"/>
              </w:rPr>
            </w:pPr>
            <w:r w:rsidRPr="00503330">
              <w:t>2015</w:t>
            </w:r>
          </w:p>
        </w:tc>
        <w:tc>
          <w:tcPr>
            <w:tcW w:w="437"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color w:val="0070C0"/>
                <w:lang w:val="en-US"/>
              </w:rPr>
            </w:pPr>
            <w:r w:rsidRPr="00503330">
              <w:t>230</w:t>
            </w:r>
          </w:p>
        </w:tc>
        <w:tc>
          <w:tcPr>
            <w:tcW w:w="446"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sidRPr="008A0002">
              <w:rPr>
                <w:color w:val="000000" w:themeColor="text1"/>
              </w:rPr>
              <w:t>230</w:t>
            </w:r>
          </w:p>
        </w:tc>
        <w:tc>
          <w:tcPr>
            <w:tcW w:w="437"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sidRPr="008A0002">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sidRPr="008A0002">
              <w:rPr>
                <w:color w:val="000000" w:themeColor="text1"/>
              </w:rPr>
              <w:t>230</w:t>
            </w:r>
          </w:p>
        </w:tc>
      </w:tr>
      <w:tr w:rsidR="00667809" w:rsidTr="00F608ED">
        <w:trPr>
          <w:cantSplit/>
        </w:trPr>
        <w:tc>
          <w:tcPr>
            <w:tcW w:w="641" w:type="pct"/>
            <w:tcBorders>
              <w:top w:val="single" w:sz="4" w:space="0" w:color="auto"/>
              <w:left w:val="single" w:sz="4" w:space="0" w:color="auto"/>
              <w:bottom w:val="single" w:sz="4" w:space="0" w:color="auto"/>
              <w:right w:val="single" w:sz="4" w:space="0" w:color="auto"/>
            </w:tcBorders>
          </w:tcPr>
          <w:p w:rsidR="00667809" w:rsidRPr="00503330" w:rsidRDefault="00667809" w:rsidP="00667809">
            <w:pPr>
              <w:tabs>
                <w:tab w:val="left" w:pos="2864"/>
              </w:tabs>
              <w:spacing w:before="120" w:after="40"/>
            </w:pPr>
            <w:r w:rsidRPr="00503330">
              <w:t>Savannah burning projects located in the north of Australia</w:t>
            </w:r>
          </w:p>
        </w:tc>
        <w:tc>
          <w:tcPr>
            <w:tcW w:w="397" w:type="pct"/>
            <w:tcBorders>
              <w:top w:val="single" w:sz="4" w:space="0" w:color="auto"/>
              <w:left w:val="single" w:sz="4" w:space="0" w:color="auto"/>
              <w:bottom w:val="single" w:sz="4" w:space="0" w:color="auto"/>
              <w:right w:val="single" w:sz="4" w:space="0" w:color="auto"/>
            </w:tcBorders>
          </w:tcPr>
          <w:p w:rsidR="00667809" w:rsidRPr="00FB419E" w:rsidRDefault="00667809" w:rsidP="00667809">
            <w:pPr>
              <w:tabs>
                <w:tab w:val="left" w:pos="300"/>
              </w:tabs>
              <w:spacing w:before="120"/>
              <w:rPr>
                <w:color w:val="000000" w:themeColor="text1"/>
              </w:rPr>
            </w:pPr>
            <w:r w:rsidRPr="00CA7D2C">
              <w:rPr>
                <w:color w:val="000000" w:themeColor="text1"/>
                <w:lang w:val="en-US"/>
              </w:rPr>
              <w:t>ACCU</w:t>
            </w:r>
          </w:p>
        </w:tc>
        <w:tc>
          <w:tcPr>
            <w:tcW w:w="514" w:type="pct"/>
            <w:tcBorders>
              <w:top w:val="single" w:sz="4" w:space="0" w:color="auto"/>
              <w:left w:val="single" w:sz="4" w:space="0" w:color="auto"/>
              <w:bottom w:val="single" w:sz="4" w:space="0" w:color="auto"/>
              <w:right w:val="single" w:sz="4" w:space="0" w:color="auto"/>
            </w:tcBorders>
          </w:tcPr>
          <w:p w:rsidR="00667809" w:rsidRPr="00FB419E" w:rsidRDefault="00667809" w:rsidP="00667809">
            <w:pPr>
              <w:spacing w:before="120"/>
              <w:rPr>
                <w:color w:val="000000" w:themeColor="text1"/>
                <w:lang w:val="en-US"/>
              </w:rPr>
            </w:pPr>
            <w:r w:rsidRPr="00CA7D2C">
              <w:rPr>
                <w:color w:val="000000" w:themeColor="text1"/>
                <w:lang w:val="en-US"/>
              </w:rPr>
              <w:t>Emissions Reduction Fund</w:t>
            </w:r>
          </w:p>
        </w:tc>
        <w:tc>
          <w:tcPr>
            <w:tcW w:w="554" w:type="pct"/>
            <w:tcBorders>
              <w:top w:val="single" w:sz="4" w:space="0" w:color="auto"/>
              <w:left w:val="single" w:sz="4" w:space="0" w:color="auto"/>
              <w:bottom w:val="single" w:sz="4" w:space="0" w:color="auto"/>
              <w:right w:val="single" w:sz="4" w:space="0" w:color="auto"/>
            </w:tcBorders>
          </w:tcPr>
          <w:p w:rsidR="00667809" w:rsidRDefault="00667809" w:rsidP="00667809">
            <w:pPr>
              <w:spacing w:before="120"/>
            </w:pPr>
            <w:r>
              <w:t>18/05/2020</w:t>
            </w:r>
          </w:p>
        </w:tc>
        <w:tc>
          <w:tcPr>
            <w:tcW w:w="736" w:type="pct"/>
            <w:tcBorders>
              <w:top w:val="single" w:sz="4" w:space="0" w:color="auto"/>
              <w:left w:val="single" w:sz="4" w:space="0" w:color="auto"/>
              <w:bottom w:val="single" w:sz="4" w:space="0" w:color="auto"/>
              <w:right w:val="single" w:sz="4" w:space="0" w:color="auto"/>
            </w:tcBorders>
          </w:tcPr>
          <w:p w:rsidR="00667809" w:rsidRPr="00995B23" w:rsidRDefault="00667809" w:rsidP="00667809">
            <w:pPr>
              <w:autoSpaceDE w:val="0"/>
              <w:autoSpaceDN w:val="0"/>
              <w:adjustRightInd w:val="0"/>
              <w:rPr>
                <w:rFonts w:ascii="Calibri" w:hAnsi="Calibri" w:cs="Calibri"/>
                <w:color w:val="000000"/>
              </w:rPr>
            </w:pPr>
            <w:r>
              <w:rPr>
                <w:rFonts w:ascii="Calibri" w:hAnsi="Calibri" w:cs="Calibri"/>
                <w:color w:val="000000"/>
              </w:rPr>
              <w:t>3,768,791,534 – 3,768,791,659</w:t>
            </w:r>
          </w:p>
        </w:tc>
        <w:tc>
          <w:tcPr>
            <w:tcW w:w="401" w:type="pct"/>
            <w:tcBorders>
              <w:top w:val="single" w:sz="4" w:space="0" w:color="auto"/>
              <w:left w:val="single" w:sz="4" w:space="0" w:color="auto"/>
              <w:bottom w:val="single" w:sz="4" w:space="0" w:color="auto"/>
              <w:right w:val="single" w:sz="4" w:space="0" w:color="auto"/>
            </w:tcBorders>
          </w:tcPr>
          <w:p w:rsidR="00667809" w:rsidRPr="00503330" w:rsidRDefault="00667809" w:rsidP="00667809">
            <w:pPr>
              <w:spacing w:before="120"/>
              <w:jc w:val="right"/>
            </w:pPr>
            <w:r>
              <w:t>2013+</w:t>
            </w:r>
          </w:p>
        </w:tc>
        <w:tc>
          <w:tcPr>
            <w:tcW w:w="437" w:type="pct"/>
            <w:tcBorders>
              <w:top w:val="single" w:sz="4" w:space="0" w:color="auto"/>
              <w:left w:val="single" w:sz="4" w:space="0" w:color="auto"/>
              <w:bottom w:val="single" w:sz="4" w:space="0" w:color="auto"/>
              <w:right w:val="single" w:sz="4" w:space="0" w:color="auto"/>
            </w:tcBorders>
          </w:tcPr>
          <w:p w:rsidR="00667809" w:rsidRPr="00503330" w:rsidRDefault="00667809" w:rsidP="00667809">
            <w:pPr>
              <w:spacing w:before="120"/>
              <w:jc w:val="right"/>
            </w:pPr>
            <w:r>
              <w:t>126</w:t>
            </w:r>
          </w:p>
        </w:tc>
        <w:tc>
          <w:tcPr>
            <w:tcW w:w="446"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tcPr>
          <w:p w:rsidR="00667809" w:rsidRPr="008A0002" w:rsidRDefault="00667809" w:rsidP="00667809">
            <w:pPr>
              <w:spacing w:before="120"/>
              <w:jc w:val="right"/>
              <w:rPr>
                <w:color w:val="000000" w:themeColor="text1"/>
              </w:rPr>
            </w:pPr>
            <w:r>
              <w:rPr>
                <w:color w:val="000000" w:themeColor="text1"/>
              </w:rPr>
              <w:t>126</w:t>
            </w:r>
          </w:p>
        </w:tc>
      </w:tr>
    </w:tbl>
    <w:p w:rsidR="00EA185E" w:rsidRDefault="00EA185E">
      <w:pPr>
        <w:spacing w:before="0" w:after="0" w:line="240" w:lineRule="auto"/>
      </w:pPr>
    </w:p>
    <w:tbl>
      <w:tblPr>
        <w:tblStyle w:val="TableGrid11"/>
        <w:tblW w:w="5000" w:type="pct"/>
        <w:tblLook w:val="04A0" w:firstRow="1" w:lastRow="0" w:firstColumn="1" w:lastColumn="0" w:noHBand="0" w:noVBand="1"/>
      </w:tblPr>
      <w:tblGrid>
        <w:gridCol w:w="9894"/>
        <w:gridCol w:w="1558"/>
        <w:gridCol w:w="1526"/>
        <w:gridCol w:w="1526"/>
      </w:tblGrid>
      <w:tr w:rsidR="00EA185E" w:rsidTr="00902EE8">
        <w:trPr>
          <w:cantSplit/>
          <w:tblHeader/>
        </w:trPr>
        <w:tc>
          <w:tcPr>
            <w:tcW w:w="3410"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b/>
                <w:i/>
                <w:color w:val="000000" w:themeColor="text1"/>
                <w:sz w:val="24"/>
                <w:szCs w:val="20"/>
              </w:rPr>
            </w:pPr>
            <w:bookmarkStart w:id="44" w:name="Title_14" w:colFirst="0" w:colLast="0"/>
            <w:r>
              <w:br w:type="page"/>
            </w:r>
          </w:p>
        </w:tc>
        <w:tc>
          <w:tcPr>
            <w:tcW w:w="537"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color w:val="000000" w:themeColor="text1"/>
                <w:sz w:val="20"/>
                <w:szCs w:val="20"/>
              </w:rPr>
            </w:pPr>
            <w:r>
              <w:rPr>
                <w:b/>
                <w:i/>
                <w:sz w:val="20"/>
                <w:szCs w:val="20"/>
                <w:lang w:val="en-US"/>
              </w:rPr>
              <w:t>Quantity used for previous report</w:t>
            </w: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Pr>
                <w:b/>
                <w:i/>
                <w:sz w:val="20"/>
                <w:szCs w:val="20"/>
                <w:lang w:val="en-US"/>
              </w:rPr>
              <w:t xml:space="preserve">Quantity to be banked for future years </w:t>
            </w: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Pr>
                <w:b/>
                <w:i/>
                <w:sz w:val="20"/>
                <w:szCs w:val="20"/>
                <w:lang w:val="en-US"/>
              </w:rPr>
              <w:t>Quantity to be used this report</w:t>
            </w:r>
          </w:p>
        </w:tc>
      </w:tr>
      <w:bookmarkEnd w:id="44"/>
      <w:tr w:rsidR="00EA185E" w:rsidTr="00EA185E">
        <w:trPr>
          <w:cantSplit/>
        </w:trPr>
        <w:tc>
          <w:tcPr>
            <w:tcW w:w="3410"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b/>
                <w:i/>
                <w:color w:val="000000" w:themeColor="text1"/>
              </w:rPr>
            </w:pPr>
            <w:r>
              <w:rPr>
                <w:b/>
                <w:i/>
                <w:color w:val="000000" w:themeColor="text1"/>
              </w:rPr>
              <w:t>Total offsets retired this report and used in this report</w:t>
            </w:r>
          </w:p>
        </w:tc>
        <w:tc>
          <w:tcPr>
            <w:tcW w:w="537"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color w:val="000000" w:themeColor="text1"/>
                <w:szCs w:val="20"/>
              </w:rPr>
            </w:pP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sidRPr="00D5158A">
              <w:rPr>
                <w:color w:val="000000" w:themeColor="text1"/>
              </w:rPr>
              <w:t>773</w:t>
            </w:r>
          </w:p>
        </w:tc>
      </w:tr>
      <w:tr w:rsidR="00EA185E" w:rsidTr="00EA185E">
        <w:trPr>
          <w:cantSplit/>
        </w:trPr>
        <w:tc>
          <w:tcPr>
            <w:tcW w:w="3410" w:type="pct"/>
            <w:tcBorders>
              <w:top w:val="single" w:sz="4" w:space="0" w:color="auto"/>
              <w:left w:val="single" w:sz="4" w:space="0" w:color="auto"/>
              <w:bottom w:val="single" w:sz="4" w:space="0" w:color="auto"/>
              <w:right w:val="single" w:sz="4" w:space="0" w:color="auto"/>
            </w:tcBorders>
            <w:hideMark/>
          </w:tcPr>
          <w:p w:rsidR="00EA185E" w:rsidRDefault="00EA185E" w:rsidP="00EA185E">
            <w:pPr>
              <w:spacing w:before="120"/>
              <w:jc w:val="right"/>
              <w:rPr>
                <w:b/>
                <w:i/>
                <w:color w:val="000000" w:themeColor="text1"/>
                <w:sz w:val="24"/>
                <w:szCs w:val="20"/>
              </w:rPr>
            </w:pPr>
            <w:r>
              <w:rPr>
                <w:b/>
                <w:i/>
                <w:color w:val="000000" w:themeColor="text1"/>
              </w:rPr>
              <w:t>Total offsets retired this report and banked for future reports</w:t>
            </w:r>
          </w:p>
        </w:tc>
        <w:tc>
          <w:tcPr>
            <w:tcW w:w="537"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color w:val="000000" w:themeColor="text1"/>
                <w:sz w:val="20"/>
                <w:szCs w:val="20"/>
              </w:rPr>
            </w:pP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sidRPr="00D5158A">
              <w:rPr>
                <w:color w:val="000000" w:themeColor="text1"/>
              </w:rPr>
              <w:t>0</w:t>
            </w: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p>
        </w:tc>
      </w:tr>
    </w:tbl>
    <w:p w:rsidR="00CF7614" w:rsidRDefault="00CF7614">
      <w:pPr>
        <w:spacing w:before="0" w:after="0" w:line="240" w:lineRule="auto"/>
        <w:rPr>
          <w:rFonts w:ascii="Arial Bold" w:eastAsia="MS Gothic" w:hAnsi="Arial Bold"/>
          <w:bCs/>
          <w:spacing w:val="-1"/>
          <w:sz w:val="24"/>
          <w:szCs w:val="26"/>
          <w:lang w:val="en-US"/>
        </w:rPr>
        <w:sectPr w:rsidR="00CF7614" w:rsidSect="00CF7614">
          <w:endnotePr>
            <w:numFmt w:val="decimal"/>
          </w:endnotePr>
          <w:pgSz w:w="16840" w:h="11900" w:orient="landscape"/>
          <w:pgMar w:top="1134" w:right="1418" w:bottom="987" w:left="1134" w:header="709" w:footer="709" w:gutter="0"/>
          <w:cols w:space="708"/>
          <w:docGrid w:linePitch="360"/>
        </w:sectPr>
      </w:pPr>
      <w:bookmarkStart w:id="45" w:name="_Toc47885193"/>
    </w:p>
    <w:p w:rsidR="00667809" w:rsidRPr="00EA185E" w:rsidRDefault="00667809" w:rsidP="00667809">
      <w:pPr>
        <w:pStyle w:val="Heading2"/>
        <w:rPr>
          <w:spacing w:val="-1"/>
        </w:rPr>
      </w:pPr>
      <w:r w:rsidRPr="00EA185E">
        <w:rPr>
          <w:spacing w:val="-1"/>
        </w:rPr>
        <w:t>Co-benefits</w:t>
      </w:r>
      <w:bookmarkEnd w:id="45"/>
    </w:p>
    <w:p w:rsidR="00667809" w:rsidRPr="00C86566" w:rsidRDefault="00667809" w:rsidP="00EA185E">
      <w:pPr>
        <w:pStyle w:val="Heading3"/>
      </w:pPr>
      <w:bookmarkStart w:id="46" w:name="_Toc16518485"/>
      <w:bookmarkStart w:id="47" w:name="_Toc47885194"/>
      <w:r w:rsidRPr="00C86566">
        <w:t>Savannah burning - Australia</w:t>
      </w:r>
      <w:bookmarkEnd w:id="46"/>
      <w:bookmarkEnd w:id="47"/>
    </w:p>
    <w:p w:rsidR="00667809" w:rsidRPr="00C86566" w:rsidRDefault="00667809" w:rsidP="00667809">
      <w:pPr>
        <w:rPr>
          <w:color w:val="000000" w:themeColor="text1"/>
        </w:rPr>
      </w:pPr>
      <w:r w:rsidRPr="00C86566">
        <w:rPr>
          <w:color w:val="000000" w:themeColor="text1"/>
        </w:rPr>
        <w:t>Avoiding emissions through actively managing fire regimes in the savannah grasslands of northern Australia.</w:t>
      </w:r>
    </w:p>
    <w:p w:rsidR="00667809" w:rsidRPr="00C86566" w:rsidRDefault="00667809" w:rsidP="00667809">
      <w:pPr>
        <w:rPr>
          <w:color w:val="000000" w:themeColor="text1"/>
        </w:rPr>
      </w:pPr>
      <w:r w:rsidRPr="00C86566">
        <w:rPr>
          <w:b/>
          <w:color w:val="000000" w:themeColor="text1"/>
        </w:rPr>
        <w:t>Description:</w:t>
      </w:r>
      <w:r w:rsidRPr="00C86566">
        <w:rPr>
          <w:color w:val="000000" w:themeColor="text1"/>
        </w:rPr>
        <w:t xml:space="preserve"> These projects help avoid emissions associated with high intensity grassfires occurring seasonally in the north of Australia. Fire is introduced to the landscape through a mosaic burning regime wherein burning off is conducted during the early stages of the dry season, resulting in reduced incidence of high</w:t>
      </w:r>
      <w:r w:rsidRPr="00C86566">
        <w:rPr>
          <w:rFonts w:hint="eastAsia"/>
          <w:color w:val="000000" w:themeColor="text1"/>
        </w:rPr>
        <w:t>‐</w:t>
      </w:r>
      <w:r w:rsidRPr="00C86566">
        <w:rPr>
          <w:color w:val="000000" w:themeColor="text1"/>
        </w:rPr>
        <w:t>intensity wildfires, typically occurring toward the end of the dry season. Projects include a high level of engagement and capacity development within the Aboriginal and Torres Strait Islander community.</w:t>
      </w:r>
    </w:p>
    <w:p w:rsidR="00667809" w:rsidRPr="00C86566" w:rsidRDefault="00667809" w:rsidP="00667809">
      <w:pPr>
        <w:rPr>
          <w:color w:val="000000" w:themeColor="text1"/>
        </w:rPr>
      </w:pPr>
      <w:r w:rsidRPr="00C86566">
        <w:rPr>
          <w:b/>
          <w:color w:val="000000" w:themeColor="text1"/>
        </w:rPr>
        <w:t>Co-benefits</w:t>
      </w:r>
      <w:r w:rsidRPr="00C86566">
        <w:rPr>
          <w:color w:val="000000" w:themeColor="text1"/>
        </w:rPr>
        <w:t xml:space="preserve">: Promotion of capacity, skills development and employment in Aboriginal and Torres Strait Islander communities. Promoting indigenous cultural values through linking indigenous cultural practice with revenue generating opportunities. Diversification of revenue streams and job opportunities in remote communities.  Improved habitat value and biodiversity through introduction of mosaic fire regime and reduction of </w:t>
      </w:r>
      <w:r w:rsidR="00EA185E" w:rsidRPr="00C86566">
        <w:rPr>
          <w:color w:val="000000" w:themeColor="text1"/>
        </w:rPr>
        <w:t>wildfire</w:t>
      </w:r>
      <w:r w:rsidRPr="00C86566">
        <w:rPr>
          <w:color w:val="000000" w:themeColor="text1"/>
        </w:rPr>
        <w:t xml:space="preserve"> impacts.</w:t>
      </w:r>
    </w:p>
    <w:p w:rsidR="00667809" w:rsidRPr="00C86566" w:rsidRDefault="00667809" w:rsidP="00EA185E">
      <w:pPr>
        <w:pStyle w:val="Heading3"/>
      </w:pPr>
      <w:bookmarkStart w:id="48" w:name="_Toc16518486"/>
      <w:bookmarkStart w:id="49" w:name="_Toc47885195"/>
      <w:r w:rsidRPr="00C86566">
        <w:t>Human induced regeneration of native forest - Australia</w:t>
      </w:r>
      <w:bookmarkEnd w:id="48"/>
      <w:bookmarkEnd w:id="49"/>
    </w:p>
    <w:p w:rsidR="00667809" w:rsidRPr="00C86566" w:rsidRDefault="00667809" w:rsidP="00667809">
      <w:pPr>
        <w:rPr>
          <w:color w:val="000000" w:themeColor="text1"/>
        </w:rPr>
      </w:pPr>
      <w:r w:rsidRPr="00C86566">
        <w:rPr>
          <w:color w:val="000000" w:themeColor="text1"/>
        </w:rPr>
        <w:t>Increasing carbon sequestration by vegetation through promoting the regeneration of native forests.</w:t>
      </w:r>
    </w:p>
    <w:p w:rsidR="00667809" w:rsidRPr="00C86566" w:rsidRDefault="00667809" w:rsidP="00667809">
      <w:pPr>
        <w:rPr>
          <w:color w:val="000000" w:themeColor="text1"/>
        </w:rPr>
      </w:pPr>
      <w:r w:rsidRPr="00C86566">
        <w:rPr>
          <w:b/>
          <w:color w:val="000000" w:themeColor="text1"/>
        </w:rPr>
        <w:t>Description</w:t>
      </w:r>
      <w:r w:rsidRPr="00C86566">
        <w:rPr>
          <w:color w:val="000000" w:themeColor="text1"/>
        </w:rPr>
        <w:t>: Through these projects, carbon is sequestered from the atmosphere by changing land practices so as to promote the natural regeneration of native forests within regional areas of New South Wales and Queensland. The rural properties involved in the projects have had a long history of use for agricultural purposes and, historically, have been subject to extensive clearing and ongoing vegetation suppression through a variety of mechanisms. Through actively managing grazing pressure and the landholder committing to the cessation of further clearing activity, the conditions have been created for return to a cover of native woodland and shrub land consistent with the lands pre</w:t>
      </w:r>
      <w:r w:rsidRPr="00C86566">
        <w:rPr>
          <w:rFonts w:hint="eastAsia"/>
          <w:color w:val="000000" w:themeColor="text1"/>
        </w:rPr>
        <w:t>‐</w:t>
      </w:r>
      <w:r w:rsidRPr="00C86566">
        <w:rPr>
          <w:color w:val="000000" w:themeColor="text1"/>
        </w:rPr>
        <w:t>cleared state. With the change in management practice, substantial areas of native trees and shrubs are now returning.</w:t>
      </w:r>
    </w:p>
    <w:p w:rsidR="00667809" w:rsidRPr="00C86566" w:rsidRDefault="00667809" w:rsidP="00667809">
      <w:pPr>
        <w:rPr>
          <w:color w:val="000000" w:themeColor="text1"/>
        </w:rPr>
      </w:pPr>
      <w:r w:rsidRPr="00C86566">
        <w:rPr>
          <w:b/>
          <w:color w:val="000000" w:themeColor="text1"/>
        </w:rPr>
        <w:t>Co-benefits</w:t>
      </w:r>
      <w:r w:rsidRPr="00C86566">
        <w:rPr>
          <w:color w:val="000000" w:themeColor="text1"/>
        </w:rPr>
        <w:t>: Improved cover of native woodland and shrub</w:t>
      </w:r>
      <w:r w:rsidRPr="00C86566">
        <w:rPr>
          <w:rFonts w:hint="eastAsia"/>
          <w:color w:val="000000" w:themeColor="text1"/>
        </w:rPr>
        <w:t>‐</w:t>
      </w:r>
      <w:r w:rsidRPr="00C86566">
        <w:rPr>
          <w:color w:val="000000" w:themeColor="text1"/>
        </w:rPr>
        <w:t>land in a location subject to extensive clearing historically, increased biodiversity and habitat value, reduced risk of soil erosion, increased diversification of land use and promotion of improved land management practices.</w:t>
      </w:r>
    </w:p>
    <w:p w:rsidR="00667809" w:rsidRPr="00C86566" w:rsidRDefault="00667809" w:rsidP="00EA185E">
      <w:pPr>
        <w:pStyle w:val="Heading3"/>
      </w:pPr>
      <w:bookmarkStart w:id="50" w:name="_Toc47885196"/>
      <w:r w:rsidRPr="00C86566">
        <w:t xml:space="preserve">Renewable Energy Project </w:t>
      </w:r>
      <w:r w:rsidRPr="00C86566">
        <w:rPr>
          <w:rFonts w:ascii="Cambria Math" w:hAnsi="Cambria Math" w:cs="Cambria Math"/>
        </w:rPr>
        <w:t>‐</w:t>
      </w:r>
      <w:r w:rsidRPr="00C86566">
        <w:t xml:space="preserve"> India</w:t>
      </w:r>
      <w:bookmarkEnd w:id="50"/>
    </w:p>
    <w:p w:rsidR="00667809" w:rsidRPr="00C86566" w:rsidRDefault="00667809" w:rsidP="00667809">
      <w:pPr>
        <w:rPr>
          <w:color w:val="000000" w:themeColor="text1"/>
        </w:rPr>
      </w:pPr>
      <w:r w:rsidRPr="00C86566">
        <w:rPr>
          <w:b/>
          <w:bCs/>
          <w:color w:val="000000" w:themeColor="text1"/>
        </w:rPr>
        <w:t xml:space="preserve">Description: </w:t>
      </w:r>
      <w:r w:rsidRPr="00C86566">
        <w:rPr>
          <w:color w:val="000000" w:themeColor="text1"/>
        </w:rPr>
        <w:t>Under this project, greenhouse emissions are reduced through displacing coal‐fired power sources with a mix of clean, renewable and reliable solar and wind energy sources. The total installed capacity of the project is targeting 22.20 MW, including through the operation of a solar power plant and 18 Wind Turbine Generators.</w:t>
      </w:r>
    </w:p>
    <w:p w:rsidR="00667809" w:rsidRPr="00C86566" w:rsidRDefault="00667809" w:rsidP="00667809">
      <w:pPr>
        <w:rPr>
          <w:color w:val="000000" w:themeColor="text1"/>
        </w:rPr>
      </w:pPr>
      <w:r w:rsidRPr="00C86566">
        <w:rPr>
          <w:b/>
          <w:bCs/>
          <w:color w:val="000000" w:themeColor="text1"/>
        </w:rPr>
        <w:t>Co‐benefits</w:t>
      </w:r>
      <w:r w:rsidRPr="00C86566">
        <w:rPr>
          <w:color w:val="000000" w:themeColor="text1"/>
        </w:rPr>
        <w:t>: Improved availability of reliable energy sources, diversification of local economy, increased local employment, increased awareness and uptake of renewable energy opportunities, increased awareness of environmental issues and options for addressing these, improved human health and reduction of air pollution.</w:t>
      </w:r>
    </w:p>
    <w:p w:rsidR="004B2C68" w:rsidRDefault="004B2C68">
      <w:pPr>
        <w:spacing w:before="0" w:after="0" w:line="240" w:lineRule="auto"/>
        <w:rPr>
          <w:rFonts w:ascii="Arial Bold" w:eastAsia="MS Gothic" w:hAnsi="Arial Bold"/>
          <w:bCs/>
          <w:spacing w:val="-1"/>
          <w:sz w:val="28"/>
          <w:szCs w:val="28"/>
          <w:lang w:val="en-US"/>
        </w:rPr>
      </w:pPr>
      <w:bookmarkStart w:id="51" w:name="5._Use_of_trade_mark"/>
      <w:bookmarkStart w:id="52" w:name="_Toc47885197"/>
      <w:bookmarkEnd w:id="51"/>
      <w:r>
        <w:rPr>
          <w:spacing w:val="-1"/>
          <w:szCs w:val="28"/>
        </w:rPr>
        <w:br w:type="page"/>
      </w:r>
    </w:p>
    <w:p w:rsidR="00667809" w:rsidRPr="0053548B" w:rsidRDefault="00667809" w:rsidP="00667809">
      <w:pPr>
        <w:pStyle w:val="Heading1"/>
        <w:rPr>
          <w:spacing w:val="-1"/>
          <w:szCs w:val="28"/>
        </w:rPr>
      </w:pPr>
      <w:r w:rsidRPr="0053548B">
        <w:rPr>
          <w:spacing w:val="-1"/>
          <w:szCs w:val="28"/>
        </w:rPr>
        <w:t>5. Use of trade mark</w:t>
      </w:r>
      <w:bookmarkEnd w:id="52"/>
    </w:p>
    <w:p w:rsidR="00667809" w:rsidRPr="0053548B" w:rsidRDefault="00EA185E" w:rsidP="00EA185E">
      <w:pPr>
        <w:pStyle w:val="Heading3"/>
        <w:rPr>
          <w:color w:val="000000" w:themeColor="text1"/>
        </w:rPr>
      </w:pPr>
      <w:bookmarkStart w:id="53" w:name="_Toc47885198"/>
      <w:r>
        <w:t>Table 9 Use of trade mark</w:t>
      </w:r>
      <w:bookmarkEnd w:id="53"/>
    </w:p>
    <w:tbl>
      <w:tblPr>
        <w:tblW w:w="0" w:type="auto"/>
        <w:tblInd w:w="107" w:type="dxa"/>
        <w:tblLayout w:type="fixed"/>
        <w:tblCellMar>
          <w:left w:w="85" w:type="dxa"/>
          <w:right w:w="85" w:type="dxa"/>
        </w:tblCellMar>
        <w:tblLook w:val="01E0" w:firstRow="1" w:lastRow="1" w:firstColumn="1" w:lastColumn="1" w:noHBand="0" w:noVBand="0"/>
      </w:tblPr>
      <w:tblGrid>
        <w:gridCol w:w="5496"/>
        <w:gridCol w:w="3747"/>
      </w:tblGrid>
      <w:tr w:rsidR="00667809" w:rsidRPr="00EA185E" w:rsidTr="00902EE8">
        <w:trPr>
          <w:trHeight w:hRule="exact" w:val="691"/>
          <w:tblHeader/>
        </w:trPr>
        <w:tc>
          <w:tcPr>
            <w:tcW w:w="54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7809" w:rsidRPr="00EA185E" w:rsidRDefault="00667809" w:rsidP="00667809">
            <w:pPr>
              <w:rPr>
                <w:b/>
                <w:bCs/>
              </w:rPr>
            </w:pPr>
            <w:bookmarkStart w:id="54" w:name="ColumnTitle_15"/>
            <w:r w:rsidRPr="00EA185E">
              <w:rPr>
                <w:b/>
                <w:bCs/>
              </w:rPr>
              <w:t>Description where trademark used</w:t>
            </w:r>
          </w:p>
        </w:tc>
        <w:tc>
          <w:tcPr>
            <w:tcW w:w="374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7809" w:rsidRPr="00EA185E" w:rsidRDefault="00667809" w:rsidP="00667809">
            <w:pPr>
              <w:rPr>
                <w:b/>
                <w:bCs/>
              </w:rPr>
            </w:pPr>
            <w:r w:rsidRPr="00EA185E">
              <w:rPr>
                <w:b/>
                <w:bCs/>
              </w:rPr>
              <w:t>Logo type</w:t>
            </w:r>
          </w:p>
        </w:tc>
      </w:tr>
      <w:bookmarkEnd w:id="54"/>
      <w:tr w:rsidR="00667809" w:rsidRPr="00A0432B" w:rsidTr="00667809">
        <w:trPr>
          <w:trHeight w:val="397"/>
        </w:trPr>
        <w:tc>
          <w:tcPr>
            <w:tcW w:w="5496" w:type="dxa"/>
            <w:tcBorders>
              <w:top w:val="single" w:sz="5" w:space="0" w:color="000000"/>
              <w:left w:val="single" w:sz="5" w:space="0" w:color="000000"/>
              <w:bottom w:val="single" w:sz="7" w:space="0" w:color="000000"/>
              <w:right w:val="single" w:sz="5" w:space="0" w:color="000000"/>
            </w:tcBorders>
            <w:vAlign w:val="center"/>
          </w:tcPr>
          <w:p w:rsidR="00667809" w:rsidRPr="00C86566" w:rsidRDefault="00667809" w:rsidP="00667809">
            <w:pPr>
              <w:rPr>
                <w:color w:val="000000" w:themeColor="text1"/>
              </w:rPr>
            </w:pPr>
            <w:r w:rsidRPr="00C86566">
              <w:rPr>
                <w:color w:val="000000" w:themeColor="text1"/>
              </w:rPr>
              <w:t>Melbourne Fashion Week and City of Melbourne website</w:t>
            </w:r>
          </w:p>
        </w:tc>
        <w:tc>
          <w:tcPr>
            <w:tcW w:w="3747" w:type="dxa"/>
            <w:tcBorders>
              <w:top w:val="single" w:sz="5" w:space="0" w:color="000000"/>
              <w:left w:val="single" w:sz="5" w:space="0" w:color="000000"/>
              <w:bottom w:val="single" w:sz="7" w:space="0" w:color="000000"/>
              <w:right w:val="single" w:sz="5" w:space="0" w:color="000000"/>
            </w:tcBorders>
            <w:vAlign w:val="center"/>
          </w:tcPr>
          <w:p w:rsidR="00667809" w:rsidRPr="00C86566" w:rsidRDefault="00667809" w:rsidP="00667809">
            <w:pPr>
              <w:rPr>
                <w:color w:val="000000" w:themeColor="text1"/>
              </w:rPr>
            </w:pPr>
            <w:r w:rsidRPr="00C86566">
              <w:rPr>
                <w:color w:val="000000" w:themeColor="text1"/>
                <w:lang w:val="en-US"/>
              </w:rPr>
              <w:t>Certified Event</w:t>
            </w:r>
          </w:p>
        </w:tc>
      </w:tr>
      <w:tr w:rsidR="00667809" w:rsidRPr="00A0432B" w:rsidTr="00667809">
        <w:trPr>
          <w:trHeight w:val="397"/>
        </w:trPr>
        <w:tc>
          <w:tcPr>
            <w:tcW w:w="5496" w:type="dxa"/>
            <w:tcBorders>
              <w:top w:val="single" w:sz="7" w:space="0" w:color="000000"/>
              <w:left w:val="single" w:sz="5" w:space="0" w:color="000000"/>
              <w:bottom w:val="single" w:sz="5" w:space="0" w:color="000000"/>
              <w:right w:val="single" w:sz="5" w:space="0" w:color="000000"/>
            </w:tcBorders>
            <w:vAlign w:val="center"/>
          </w:tcPr>
          <w:p w:rsidR="00667809" w:rsidRPr="00C86566" w:rsidRDefault="00667809" w:rsidP="00667809">
            <w:pPr>
              <w:rPr>
                <w:color w:val="000000" w:themeColor="text1"/>
              </w:rPr>
            </w:pPr>
            <w:r>
              <w:rPr>
                <w:color w:val="000000" w:themeColor="text1"/>
              </w:rPr>
              <w:t>Melbourne Fashion Week promotion and runway video content</w:t>
            </w:r>
          </w:p>
        </w:tc>
        <w:tc>
          <w:tcPr>
            <w:tcW w:w="3747" w:type="dxa"/>
            <w:tcBorders>
              <w:top w:val="single" w:sz="7" w:space="0" w:color="000000"/>
              <w:left w:val="single" w:sz="5" w:space="0" w:color="000000"/>
              <w:bottom w:val="single" w:sz="5" w:space="0" w:color="000000"/>
              <w:right w:val="single" w:sz="5" w:space="0" w:color="000000"/>
            </w:tcBorders>
            <w:vAlign w:val="center"/>
          </w:tcPr>
          <w:p w:rsidR="00667809" w:rsidRPr="00C86566" w:rsidRDefault="00667809" w:rsidP="00667809">
            <w:pPr>
              <w:rPr>
                <w:color w:val="000000" w:themeColor="text1"/>
              </w:rPr>
            </w:pPr>
            <w:r w:rsidRPr="00C86566">
              <w:rPr>
                <w:color w:val="000000" w:themeColor="text1"/>
                <w:lang w:val="en-US"/>
              </w:rPr>
              <w:t>Certified Event</w:t>
            </w:r>
          </w:p>
        </w:tc>
      </w:tr>
      <w:tr w:rsidR="00667809" w:rsidRPr="00A0432B" w:rsidTr="00667809">
        <w:trPr>
          <w:trHeight w:val="397"/>
        </w:trPr>
        <w:tc>
          <w:tcPr>
            <w:tcW w:w="5496" w:type="dxa"/>
            <w:tcBorders>
              <w:top w:val="single" w:sz="5" w:space="0" w:color="000000"/>
              <w:left w:val="single" w:sz="5" w:space="0" w:color="000000"/>
              <w:bottom w:val="single" w:sz="5" w:space="0" w:color="000000"/>
              <w:right w:val="single" w:sz="5" w:space="0" w:color="000000"/>
            </w:tcBorders>
            <w:vAlign w:val="center"/>
          </w:tcPr>
          <w:p w:rsidR="00667809" w:rsidRPr="00C86566" w:rsidRDefault="00667809" w:rsidP="00667809">
            <w:pPr>
              <w:rPr>
                <w:color w:val="000000" w:themeColor="text1"/>
              </w:rPr>
            </w:pPr>
            <w:r>
              <w:rPr>
                <w:color w:val="000000" w:themeColor="text1"/>
              </w:rPr>
              <w:t>Melbourne Fashion Week printed material and gift bag</w:t>
            </w:r>
          </w:p>
        </w:tc>
        <w:tc>
          <w:tcPr>
            <w:tcW w:w="3747" w:type="dxa"/>
            <w:tcBorders>
              <w:top w:val="single" w:sz="5" w:space="0" w:color="000000"/>
              <w:left w:val="single" w:sz="5" w:space="0" w:color="000000"/>
              <w:bottom w:val="single" w:sz="5" w:space="0" w:color="000000"/>
              <w:right w:val="single" w:sz="5" w:space="0" w:color="000000"/>
            </w:tcBorders>
            <w:vAlign w:val="center"/>
          </w:tcPr>
          <w:p w:rsidR="00667809" w:rsidRPr="00C86566" w:rsidRDefault="00667809" w:rsidP="00667809">
            <w:pPr>
              <w:rPr>
                <w:color w:val="000000" w:themeColor="text1"/>
              </w:rPr>
            </w:pPr>
            <w:r w:rsidRPr="00C86566">
              <w:rPr>
                <w:color w:val="000000" w:themeColor="text1"/>
                <w:lang w:val="en-US"/>
              </w:rPr>
              <w:t>Certified Event</w:t>
            </w:r>
          </w:p>
        </w:tc>
      </w:tr>
    </w:tbl>
    <w:p w:rsidR="004B2C68" w:rsidRDefault="004B2C68" w:rsidP="00EA185E">
      <w:pPr>
        <w:pStyle w:val="Heading1"/>
        <w:rPr>
          <w:spacing w:val="-1"/>
          <w:szCs w:val="28"/>
        </w:rPr>
        <w:sectPr w:rsidR="004B2C68" w:rsidSect="00CF7614">
          <w:endnotePr>
            <w:numFmt w:val="decimal"/>
          </w:endnotePr>
          <w:pgSz w:w="11900" w:h="16840"/>
          <w:pgMar w:top="1418" w:right="987" w:bottom="1134" w:left="1134" w:header="709" w:footer="709" w:gutter="0"/>
          <w:cols w:space="708"/>
          <w:docGrid w:linePitch="360"/>
        </w:sectPr>
      </w:pPr>
      <w:bookmarkStart w:id="55" w:name="6._Have_you_done_more?"/>
      <w:bookmarkStart w:id="56" w:name="_Toc47885199"/>
      <w:bookmarkEnd w:id="55"/>
    </w:p>
    <w:p w:rsidR="00667809" w:rsidRPr="0053548B" w:rsidRDefault="00EA185E" w:rsidP="00EA185E">
      <w:pPr>
        <w:pStyle w:val="Heading1"/>
        <w:rPr>
          <w:spacing w:val="-1"/>
          <w:szCs w:val="28"/>
        </w:rPr>
      </w:pPr>
      <w:r>
        <w:rPr>
          <w:spacing w:val="-1"/>
          <w:szCs w:val="28"/>
        </w:rPr>
        <w:t>6</w:t>
      </w:r>
      <w:r w:rsidR="00667809" w:rsidRPr="0053548B">
        <w:rPr>
          <w:spacing w:val="-1"/>
          <w:szCs w:val="28"/>
        </w:rPr>
        <w:t xml:space="preserve">. </w:t>
      </w:r>
      <w:r w:rsidR="00667809">
        <w:rPr>
          <w:spacing w:val="-1"/>
          <w:szCs w:val="28"/>
        </w:rPr>
        <w:t>Additional information</w:t>
      </w:r>
      <w:bookmarkEnd w:id="56"/>
    </w:p>
    <w:p w:rsidR="00667809" w:rsidRPr="00EA185E" w:rsidRDefault="00667809" w:rsidP="00EA185E">
      <w:pPr>
        <w:pStyle w:val="Heading2"/>
      </w:pPr>
      <w:bookmarkStart w:id="57" w:name="_Toc47885200"/>
      <w:r w:rsidRPr="008B64AA">
        <w:t>Appendix 1</w:t>
      </w:r>
      <w:r>
        <w:t xml:space="preserve"> -</w:t>
      </w:r>
      <w:r w:rsidRPr="008B64AA">
        <w:t xml:space="preserve"> Excluded emissions</w:t>
      </w:r>
      <w:bookmarkEnd w:id="57"/>
      <w:r w:rsidRPr="008B64AA">
        <w:t xml:space="preserve"> </w:t>
      </w:r>
    </w:p>
    <w:p w:rsidR="00667809" w:rsidRDefault="00667809" w:rsidP="00667809">
      <w:r>
        <w:t>To be deemed relevant, an emission must meet two of the five relevance criteria. Excluded emissions are detailed below against each of the five criteria.</w:t>
      </w:r>
    </w:p>
    <w:p w:rsidR="00EA185E" w:rsidRDefault="00EA185E" w:rsidP="00EA185E">
      <w:pPr>
        <w:pStyle w:val="Heading3"/>
      </w:pPr>
      <w:bookmarkStart w:id="58" w:name="_Toc47885201"/>
      <w:r>
        <w:t>Relevance Test</w:t>
      </w:r>
      <w:bookmarkEnd w:id="58"/>
    </w:p>
    <w:tbl>
      <w:tblPr>
        <w:tblStyle w:val="TableGrid"/>
        <w:tblW w:w="14395" w:type="dxa"/>
        <w:tblLook w:val="04A0" w:firstRow="1" w:lastRow="0" w:firstColumn="1" w:lastColumn="0" w:noHBand="0" w:noVBand="1"/>
      </w:tblPr>
      <w:tblGrid>
        <w:gridCol w:w="2568"/>
        <w:gridCol w:w="2365"/>
        <w:gridCol w:w="2365"/>
        <w:gridCol w:w="2366"/>
        <w:gridCol w:w="2365"/>
        <w:gridCol w:w="2366"/>
      </w:tblGrid>
      <w:tr w:rsidR="00667809" w:rsidRPr="008C6D07" w:rsidTr="004B2C68">
        <w:trPr>
          <w:tblHeader/>
        </w:trPr>
        <w:tc>
          <w:tcPr>
            <w:tcW w:w="2568" w:type="dxa"/>
            <w:shd w:val="clear" w:color="auto" w:fill="D9D9D9" w:themeFill="background1" w:themeFillShade="D9"/>
          </w:tcPr>
          <w:p w:rsidR="00667809" w:rsidRPr="008C6D07" w:rsidRDefault="00667809" w:rsidP="00667809">
            <w:pPr>
              <w:rPr>
                <w:b/>
              </w:rPr>
            </w:pPr>
            <w:bookmarkStart w:id="59" w:name="ColumnTitle_16"/>
            <w:r w:rsidRPr="008C6D07">
              <w:rPr>
                <w:b/>
              </w:rPr>
              <w:t xml:space="preserve">Excluded </w:t>
            </w:r>
            <w:r>
              <w:rPr>
                <w:b/>
              </w:rPr>
              <w:t>e</w:t>
            </w:r>
            <w:r w:rsidRPr="008C6D07">
              <w:rPr>
                <w:b/>
              </w:rPr>
              <w:t>mission</w:t>
            </w:r>
          </w:p>
        </w:tc>
        <w:tc>
          <w:tcPr>
            <w:tcW w:w="2365" w:type="dxa"/>
            <w:shd w:val="clear" w:color="auto" w:fill="D9D9D9" w:themeFill="background1" w:themeFillShade="D9"/>
          </w:tcPr>
          <w:p w:rsidR="00667809" w:rsidRPr="008C6D07" w:rsidRDefault="00667809" w:rsidP="00667809">
            <w:pPr>
              <w:rPr>
                <w:b/>
                <w:i/>
              </w:rPr>
            </w:pPr>
            <w:r w:rsidRPr="008C6D07">
              <w:rPr>
                <w:b/>
                <w:i/>
              </w:rPr>
              <w:t>The emissions from a particular source are likely to be large relative to the organisation’s electricity, stationary energy and fuel emissions</w:t>
            </w:r>
          </w:p>
        </w:tc>
        <w:tc>
          <w:tcPr>
            <w:tcW w:w="2365" w:type="dxa"/>
            <w:shd w:val="clear" w:color="auto" w:fill="D9D9D9" w:themeFill="background1" w:themeFillShade="D9"/>
          </w:tcPr>
          <w:p w:rsidR="00667809" w:rsidRPr="008C6D07" w:rsidRDefault="00667809" w:rsidP="00667809">
            <w:pPr>
              <w:rPr>
                <w:b/>
                <w:i/>
              </w:rPr>
            </w:pPr>
            <w:r w:rsidRPr="008C6D07">
              <w:rPr>
                <w:b/>
                <w:i/>
              </w:rPr>
              <w:t>The emissions from a particular source contribute to the organisation’s greenhouse gas risk exposure.</w:t>
            </w:r>
          </w:p>
          <w:p w:rsidR="00667809" w:rsidRPr="008C6D07" w:rsidRDefault="00667809" w:rsidP="00667809">
            <w:pPr>
              <w:rPr>
                <w:b/>
                <w:i/>
              </w:rPr>
            </w:pPr>
          </w:p>
        </w:tc>
        <w:tc>
          <w:tcPr>
            <w:tcW w:w="2366" w:type="dxa"/>
            <w:shd w:val="clear" w:color="auto" w:fill="D9D9D9" w:themeFill="background1" w:themeFillShade="D9"/>
          </w:tcPr>
          <w:p w:rsidR="00667809" w:rsidRPr="008C6D07" w:rsidRDefault="00667809" w:rsidP="00667809">
            <w:pPr>
              <w:rPr>
                <w:b/>
                <w:i/>
              </w:rPr>
            </w:pPr>
            <w:r w:rsidRPr="008C6D07">
              <w:rPr>
                <w:b/>
                <w:i/>
              </w:rPr>
              <w:t>Key stakeholders deem the emissions from a particular source are relevant.</w:t>
            </w:r>
          </w:p>
          <w:p w:rsidR="00667809" w:rsidRPr="008C6D07" w:rsidRDefault="00667809" w:rsidP="00667809">
            <w:pPr>
              <w:rPr>
                <w:b/>
                <w:i/>
              </w:rPr>
            </w:pPr>
          </w:p>
        </w:tc>
        <w:tc>
          <w:tcPr>
            <w:tcW w:w="2365" w:type="dxa"/>
            <w:shd w:val="clear" w:color="auto" w:fill="D9D9D9" w:themeFill="background1" w:themeFillShade="D9"/>
          </w:tcPr>
          <w:p w:rsidR="00667809" w:rsidRPr="008C6D07" w:rsidRDefault="00667809" w:rsidP="00667809">
            <w:pPr>
              <w:rPr>
                <w:b/>
                <w:i/>
              </w:rPr>
            </w:pPr>
            <w:r w:rsidRPr="008C6D07">
              <w:rPr>
                <w:b/>
                <w:i/>
              </w:rPr>
              <w:t>The responsible entity has the potential to influence the reduction of emissions from a particular source.</w:t>
            </w:r>
          </w:p>
          <w:p w:rsidR="00667809" w:rsidRPr="008C6D07" w:rsidRDefault="00667809" w:rsidP="00667809">
            <w:pPr>
              <w:rPr>
                <w:b/>
                <w:i/>
              </w:rPr>
            </w:pPr>
          </w:p>
        </w:tc>
        <w:tc>
          <w:tcPr>
            <w:tcW w:w="2366" w:type="dxa"/>
            <w:shd w:val="clear" w:color="auto" w:fill="D9D9D9" w:themeFill="background1" w:themeFillShade="D9"/>
          </w:tcPr>
          <w:p w:rsidR="00667809" w:rsidRPr="008C6D07" w:rsidRDefault="00667809" w:rsidP="00667809">
            <w:pPr>
              <w:rPr>
                <w:b/>
                <w:i/>
              </w:rPr>
            </w:pPr>
            <w:r w:rsidRPr="008C6D07">
              <w:rPr>
                <w:b/>
                <w:i/>
              </w:rPr>
              <w:t>The emissions are from outsourced activities previously undertaken within the organisation’s boundary, or from outsourced activities typically undertaken within the boundary for comparable organisations.</w:t>
            </w:r>
          </w:p>
        </w:tc>
      </w:tr>
      <w:bookmarkEnd w:id="59"/>
      <w:tr w:rsidR="00667809" w:rsidTr="004B2C68">
        <w:tc>
          <w:tcPr>
            <w:tcW w:w="2568" w:type="dxa"/>
          </w:tcPr>
          <w:p w:rsidR="00667809" w:rsidRDefault="00667809" w:rsidP="00667809">
            <w:r w:rsidRPr="0004432C">
              <w:rPr>
                <w:rFonts w:hAnsi="Calibri"/>
                <w:color w:val="000000" w:themeColor="text1"/>
                <w:kern w:val="24"/>
                <w:szCs w:val="32"/>
              </w:rPr>
              <w:t>Contractor Vehicle Use</w:t>
            </w:r>
          </w:p>
        </w:tc>
        <w:tc>
          <w:tcPr>
            <w:tcW w:w="2365"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r>
      <w:tr w:rsidR="00667809" w:rsidTr="004B2C68">
        <w:tc>
          <w:tcPr>
            <w:tcW w:w="2568" w:type="dxa"/>
          </w:tcPr>
          <w:p w:rsidR="00667809" w:rsidRDefault="00667809" w:rsidP="00667809">
            <w:r w:rsidRPr="0004432C">
              <w:rPr>
                <w:rFonts w:hAnsi="Calibri"/>
                <w:color w:val="000000" w:themeColor="text1"/>
                <w:kern w:val="24"/>
                <w:szCs w:val="32"/>
              </w:rPr>
              <w:t>Attendee Accommodation</w:t>
            </w:r>
          </w:p>
        </w:tc>
        <w:tc>
          <w:tcPr>
            <w:tcW w:w="2365"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r>
      <w:tr w:rsidR="00667809" w:rsidTr="004B2C68">
        <w:tc>
          <w:tcPr>
            <w:tcW w:w="2568" w:type="dxa"/>
          </w:tcPr>
          <w:p w:rsidR="00667809" w:rsidRDefault="00667809" w:rsidP="00667809">
            <w:r w:rsidRPr="0004432C">
              <w:rPr>
                <w:rFonts w:hAnsi="Calibri"/>
                <w:color w:val="000000" w:themeColor="text1"/>
                <w:kern w:val="24"/>
                <w:szCs w:val="32"/>
              </w:rPr>
              <w:t>Warehouse Electricity Use</w:t>
            </w:r>
          </w:p>
        </w:tc>
        <w:tc>
          <w:tcPr>
            <w:tcW w:w="2365"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p>
        </w:tc>
      </w:tr>
      <w:tr w:rsidR="00667809" w:rsidTr="004B2C68">
        <w:tc>
          <w:tcPr>
            <w:tcW w:w="2568" w:type="dxa"/>
          </w:tcPr>
          <w:p w:rsidR="00667809" w:rsidRDefault="00667809" w:rsidP="00667809">
            <w:r w:rsidRPr="0004432C">
              <w:rPr>
                <w:rFonts w:hAnsi="Calibri"/>
                <w:color w:val="000000" w:themeColor="text1"/>
                <w:kern w:val="24"/>
                <w:szCs w:val="32"/>
              </w:rPr>
              <w:t>Cleaning Services</w:t>
            </w:r>
          </w:p>
        </w:tc>
        <w:tc>
          <w:tcPr>
            <w:tcW w:w="2365"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p>
        </w:tc>
      </w:tr>
      <w:tr w:rsidR="00667809" w:rsidTr="004B2C68">
        <w:tc>
          <w:tcPr>
            <w:tcW w:w="2568" w:type="dxa"/>
          </w:tcPr>
          <w:p w:rsidR="00667809" w:rsidRDefault="00667809" w:rsidP="00667809">
            <w:r w:rsidRPr="0004432C">
              <w:rPr>
                <w:rFonts w:hAnsi="Calibri"/>
                <w:color w:val="000000" w:themeColor="text1"/>
                <w:kern w:val="24"/>
                <w:szCs w:val="32"/>
              </w:rPr>
              <w:t>Staging/Equipment/Lighting Hire</w:t>
            </w:r>
          </w:p>
        </w:tc>
        <w:tc>
          <w:tcPr>
            <w:tcW w:w="2365"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r>
      <w:tr w:rsidR="00667809" w:rsidTr="004B2C68">
        <w:tc>
          <w:tcPr>
            <w:tcW w:w="2568" w:type="dxa"/>
          </w:tcPr>
          <w:p w:rsidR="00667809" w:rsidRDefault="00667809" w:rsidP="00667809">
            <w:r w:rsidRPr="0004432C">
              <w:rPr>
                <w:rFonts w:hAnsi="Calibri"/>
                <w:color w:val="000000" w:themeColor="text1"/>
                <w:kern w:val="24"/>
                <w:szCs w:val="32"/>
              </w:rPr>
              <w:t>Office-Based Event Preparation Activities</w:t>
            </w:r>
          </w:p>
        </w:tc>
        <w:tc>
          <w:tcPr>
            <w:tcW w:w="2365"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c>
          <w:tcPr>
            <w:tcW w:w="2365" w:type="dxa"/>
          </w:tcPr>
          <w:p w:rsidR="00667809" w:rsidRDefault="00667809" w:rsidP="00667809">
            <w:pPr>
              <w:jc w:val="center"/>
            </w:pPr>
            <w:r>
              <w:t>X</w:t>
            </w:r>
          </w:p>
        </w:tc>
        <w:tc>
          <w:tcPr>
            <w:tcW w:w="2366" w:type="dxa"/>
          </w:tcPr>
          <w:p w:rsidR="00667809" w:rsidRDefault="00667809" w:rsidP="00667809">
            <w:pPr>
              <w:jc w:val="center"/>
            </w:pPr>
            <w:r>
              <w:t>X</w:t>
            </w:r>
          </w:p>
        </w:tc>
      </w:tr>
    </w:tbl>
    <w:p w:rsidR="00EA185E" w:rsidRDefault="00EA185E">
      <w:pPr>
        <w:spacing w:before="0" w:after="0" w:line="240" w:lineRule="auto"/>
        <w:rPr>
          <w:rFonts w:ascii="Arial Bold" w:eastAsia="MS Gothic" w:hAnsi="Arial Bold"/>
          <w:sz w:val="22"/>
          <w:szCs w:val="26"/>
          <w:lang w:val="en-US"/>
        </w:rPr>
      </w:pPr>
      <w:r>
        <w:br w:type="page"/>
      </w:r>
    </w:p>
    <w:p w:rsidR="00667809" w:rsidRPr="008B64AA" w:rsidRDefault="00667809" w:rsidP="00667809">
      <w:pPr>
        <w:pStyle w:val="Heading3"/>
      </w:pPr>
      <w:bookmarkStart w:id="60" w:name="_Toc47885202"/>
      <w:r w:rsidRPr="008B64AA">
        <w:t>Appendix 2 – ACCUs surrendered for Large Event Portfolio – pre-event</w:t>
      </w:r>
      <w:bookmarkEnd w:id="60"/>
    </w:p>
    <w:p w:rsidR="00667809" w:rsidRDefault="00667809" w:rsidP="00667809">
      <w:r>
        <w:rPr>
          <w:noProof/>
          <w:lang w:eastAsia="en-AU"/>
        </w:rPr>
        <w:drawing>
          <wp:inline distT="0" distB="0" distL="0" distR="0" wp14:anchorId="781C082E" wp14:editId="5CB64DD7">
            <wp:extent cx="9107279" cy="4610100"/>
            <wp:effectExtent l="0" t="0" r="0" b="0"/>
            <wp:docPr id="1" name="Picture 1" descr="The description of appendix 2 is a screenshot of ‘The Australian National Registry of Emissions Units which details the eligible carbon offsets which were surrendered on behalf of Melbourne Fashion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61872" cy="4637735"/>
                    </a:xfrm>
                    <a:prstGeom prst="rect">
                      <a:avLst/>
                    </a:prstGeom>
                    <a:noFill/>
                    <a:ln>
                      <a:noFill/>
                    </a:ln>
                  </pic:spPr>
                </pic:pic>
              </a:graphicData>
            </a:graphic>
          </wp:inline>
        </w:drawing>
      </w:r>
    </w:p>
    <w:p w:rsidR="004B2C68" w:rsidRDefault="004B2C68">
      <w:pPr>
        <w:spacing w:before="0" w:after="0" w:line="240" w:lineRule="auto"/>
        <w:rPr>
          <w:rFonts w:ascii="Arial Bold" w:eastAsia="MS Gothic" w:hAnsi="Arial Bold"/>
          <w:sz w:val="22"/>
          <w:szCs w:val="26"/>
          <w:lang w:val="en-US"/>
        </w:rPr>
      </w:pPr>
      <w:bookmarkStart w:id="61" w:name="_Toc47885203"/>
      <w:r>
        <w:br w:type="page"/>
      </w:r>
    </w:p>
    <w:p w:rsidR="00667809" w:rsidRPr="008B64AA" w:rsidRDefault="00667809" w:rsidP="00667809">
      <w:pPr>
        <w:pStyle w:val="Heading3"/>
      </w:pPr>
      <w:r w:rsidRPr="008B64AA">
        <w:t>Appendix 3 – VCUs Surrendered for Large Event Portfolio – pre-event</w:t>
      </w:r>
      <w:bookmarkEnd w:id="61"/>
    </w:p>
    <w:p w:rsidR="00667809" w:rsidRDefault="00667809" w:rsidP="00667809">
      <w:r>
        <w:rPr>
          <w:noProof/>
          <w:lang w:eastAsia="en-AU"/>
        </w:rPr>
        <w:drawing>
          <wp:inline distT="0" distB="0" distL="0" distR="0" wp14:anchorId="5A15823E" wp14:editId="6B8E4E28">
            <wp:extent cx="8977687" cy="1800225"/>
            <wp:effectExtent l="0" t="0" r="0" b="0"/>
            <wp:docPr id="4" name="Picture 4" descr="Appendix 3 is a screenshot of ‘The Verified Carbon Unit registry which details the eligible carbon offsets that were surrendered on behalf of Melbourne Fashion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65103" cy="1817754"/>
                    </a:xfrm>
                    <a:prstGeom prst="rect">
                      <a:avLst/>
                    </a:prstGeom>
                    <a:noFill/>
                    <a:ln>
                      <a:noFill/>
                    </a:ln>
                  </pic:spPr>
                </pic:pic>
              </a:graphicData>
            </a:graphic>
          </wp:inline>
        </w:drawing>
      </w:r>
    </w:p>
    <w:p w:rsidR="00EA185E" w:rsidRDefault="00EA185E">
      <w:pPr>
        <w:spacing w:before="0" w:after="0" w:line="240" w:lineRule="auto"/>
        <w:rPr>
          <w:rFonts w:ascii="Arial Bold" w:eastAsia="MS Gothic" w:hAnsi="Arial Bold"/>
          <w:sz w:val="22"/>
          <w:szCs w:val="26"/>
          <w:lang w:val="en-US"/>
        </w:rPr>
      </w:pPr>
      <w:r>
        <w:br w:type="page"/>
      </w:r>
    </w:p>
    <w:p w:rsidR="00667809" w:rsidRPr="008B64AA" w:rsidRDefault="00667809" w:rsidP="00667809">
      <w:pPr>
        <w:pStyle w:val="Heading3"/>
      </w:pPr>
      <w:bookmarkStart w:id="62" w:name="_Toc47885204"/>
      <w:r w:rsidRPr="008B64AA">
        <w:t>Appendix 4 – ACCUs Surrendered for Melbourne Fashion Week – post-event</w:t>
      </w:r>
      <w:bookmarkEnd w:id="62"/>
    </w:p>
    <w:p w:rsidR="00667809" w:rsidRDefault="00667809" w:rsidP="00667809">
      <w:r>
        <w:rPr>
          <w:noProof/>
          <w:lang w:eastAsia="en-AU"/>
        </w:rPr>
        <w:drawing>
          <wp:inline distT="0" distB="0" distL="0" distR="0" wp14:anchorId="5865E469" wp14:editId="72F23086">
            <wp:extent cx="9086279" cy="4829175"/>
            <wp:effectExtent l="0" t="0" r="635" b="0"/>
            <wp:docPr id="5" name="Picture 5" descr="Appendix 4 is a screenshot which details ‘Additional carbon offsets that were surrendered on the Australian National Registry of Emissions Units on behalf of Melbourne Fashion Week 2019. These additional offsets were required to meet the total emissions created by Melbourne Fashion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62D36.955B709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146367" cy="4861111"/>
                    </a:xfrm>
                    <a:prstGeom prst="rect">
                      <a:avLst/>
                    </a:prstGeom>
                    <a:noFill/>
                    <a:ln>
                      <a:noFill/>
                    </a:ln>
                  </pic:spPr>
                </pic:pic>
              </a:graphicData>
            </a:graphic>
          </wp:inline>
        </w:drawing>
      </w:r>
    </w:p>
    <w:sectPr w:rsidR="00667809" w:rsidSect="004B2C68">
      <w:endnotePr>
        <w:numFmt w:val="decimal"/>
      </w:endnotePr>
      <w:pgSz w:w="16840" w:h="11900" w:orient="landscape"/>
      <w:pgMar w:top="1134" w:right="1418" w:bottom="98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6C" w:rsidRDefault="00BE4B6C" w:rsidP="00BC719D">
      <w:pPr>
        <w:spacing w:after="0"/>
      </w:pPr>
      <w:r>
        <w:separator/>
      </w:r>
    </w:p>
  </w:endnote>
  <w:endnote w:type="continuationSeparator" w:id="0">
    <w:p w:rsidR="00BE4B6C" w:rsidRDefault="00BE4B6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Default="00E96298" w:rsidP="00667809">
    <w:pPr>
      <w:pStyle w:val="Footer"/>
      <w:tabs>
        <w:tab w:val="right" w:pos="14570"/>
      </w:tabs>
    </w:pPr>
    <w:r>
      <w:tab/>
      <w:t xml:space="preserve">Page </w:t>
    </w:r>
    <w:r>
      <w:fldChar w:fldCharType="begin"/>
    </w:r>
    <w:r>
      <w:instrText xml:space="preserve"> PAGE   \* MERGEFORMAT </w:instrText>
    </w:r>
    <w:r>
      <w:fldChar w:fldCharType="separate"/>
    </w:r>
    <w:r w:rsidR="00112BD6">
      <w:rPr>
        <w:noProof/>
      </w:rPr>
      <w:t>11</w:t>
    </w:r>
    <w:r>
      <w:rPr>
        <w:noProof/>
      </w:rPr>
      <w:fldChar w:fldCharType="end"/>
    </w:r>
    <w:r>
      <w:t>/</w:t>
    </w:r>
    <w:r>
      <w:rPr>
        <w:noProof/>
      </w:rPr>
      <w:fldChar w:fldCharType="begin"/>
    </w:r>
    <w:r>
      <w:rPr>
        <w:noProof/>
      </w:rPr>
      <w:instrText xml:space="preserve"> NUMPAGES   \* MERGEFORMAT </w:instrText>
    </w:r>
    <w:r>
      <w:rPr>
        <w:noProof/>
      </w:rPr>
      <w:fldChar w:fldCharType="separate"/>
    </w:r>
    <w:r w:rsidR="00112BD6">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Default="00E96298" w:rsidP="00667809">
    <w:pPr>
      <w:pStyle w:val="Footer"/>
      <w:tabs>
        <w:tab w:val="right" w:pos="9356"/>
      </w:tabs>
      <w:jc w:val="center"/>
      <w:rPr>
        <w:sz w:val="14"/>
        <w:szCs w:val="14"/>
      </w:rPr>
    </w:pPr>
  </w:p>
  <w:p w:rsidR="00E96298" w:rsidRPr="007F07F2" w:rsidRDefault="00E96298" w:rsidP="00667809">
    <w:pPr>
      <w:pStyle w:val="Footer"/>
      <w:rPr>
        <w:rFonts w:ascii="Verdana" w:hAnsi="Verdana"/>
        <w:szCs w:val="17"/>
      </w:rPr>
    </w:pPr>
    <w:r>
      <w:t>Template v2.0 release date 8/4/2020</w:t>
    </w:r>
  </w:p>
  <w:p w:rsidR="00E96298" w:rsidRDefault="00E96298" w:rsidP="00667809">
    <w:pPr>
      <w:pStyle w:val="Footer"/>
    </w:pPr>
    <w:r>
      <w:tab/>
    </w:r>
    <w:r>
      <w:tab/>
      <w:t xml:space="preserve">Page </w:t>
    </w:r>
    <w:r>
      <w:fldChar w:fldCharType="begin"/>
    </w:r>
    <w:r>
      <w:instrText xml:space="preserve"> PAGE   \* MERGEFORMAT </w:instrText>
    </w:r>
    <w:r>
      <w:fldChar w:fldCharType="separate"/>
    </w:r>
    <w:r w:rsidR="00112BD6">
      <w:rPr>
        <w:noProof/>
      </w:rPr>
      <w:t>1</w:t>
    </w:r>
    <w:r>
      <w:fldChar w:fldCharType="end"/>
    </w:r>
    <w:r>
      <w:t>/</w:t>
    </w:r>
    <w:r>
      <w:rPr>
        <w:noProof/>
      </w:rPr>
      <w:fldChar w:fldCharType="begin"/>
    </w:r>
    <w:r>
      <w:rPr>
        <w:noProof/>
      </w:rPr>
      <w:instrText xml:space="preserve"> NUMPAGES   \* MERGEFORMAT </w:instrText>
    </w:r>
    <w:r>
      <w:rPr>
        <w:noProof/>
      </w:rPr>
      <w:fldChar w:fldCharType="separate"/>
    </w:r>
    <w:r w:rsidR="00112BD6">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Pr="00A0432B" w:rsidRDefault="00E96298" w:rsidP="00667809">
    <w:pPr>
      <w:jc w:val="right"/>
    </w:pPr>
    <w:r w:rsidRPr="00A0432B">
      <w:tab/>
    </w:r>
    <w:r w:rsidRPr="00A0432B">
      <w:tab/>
      <w:t xml:space="preserve"> </w:t>
    </w:r>
    <w:r w:rsidRPr="00A0432B">
      <w:tab/>
      <w:t xml:space="preserve">Page </w:t>
    </w:r>
    <w:r w:rsidRPr="00A0432B">
      <w:fldChar w:fldCharType="begin"/>
    </w:r>
    <w:r w:rsidRPr="00A0432B">
      <w:instrText xml:space="preserve"> PAGE   \* MERGEFORMAT </w:instrText>
    </w:r>
    <w:r w:rsidRPr="00A0432B">
      <w:fldChar w:fldCharType="separate"/>
    </w:r>
    <w:r w:rsidR="00112BD6">
      <w:rPr>
        <w:noProof/>
      </w:rPr>
      <w:t>25</w:t>
    </w:r>
    <w:r w:rsidRPr="00A0432B">
      <w:fldChar w:fldCharType="end"/>
    </w:r>
    <w:r w:rsidRPr="00A0432B">
      <w:t>/</w:t>
    </w:r>
    <w:r>
      <w:rPr>
        <w:noProof/>
      </w:rPr>
      <w:fldChar w:fldCharType="begin"/>
    </w:r>
    <w:r>
      <w:rPr>
        <w:noProof/>
      </w:rPr>
      <w:instrText xml:space="preserve"> NUMPAGES   \* MERGEFORMAT </w:instrText>
    </w:r>
    <w:r>
      <w:rPr>
        <w:noProof/>
      </w:rPr>
      <w:fldChar w:fldCharType="separate"/>
    </w:r>
    <w:r w:rsidR="00112BD6">
      <w:rPr>
        <w:noProof/>
      </w:rPr>
      <w:t>25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Pr="00A0432B" w:rsidRDefault="00E96298" w:rsidP="00667809"/>
  <w:p w:rsidR="00E96298" w:rsidRPr="00A0432B" w:rsidRDefault="00E96298" w:rsidP="00667809">
    <w:pPr>
      <w:jc w:val="right"/>
    </w:pPr>
    <w:r w:rsidRPr="00A0432B">
      <w:tab/>
      <w:t xml:space="preserve">Page </w:t>
    </w:r>
    <w:r w:rsidRPr="00A0432B">
      <w:fldChar w:fldCharType="begin"/>
    </w:r>
    <w:r w:rsidRPr="00A0432B">
      <w:instrText xml:space="preserve"> PAGE   \* MERGEFORMAT </w:instrText>
    </w:r>
    <w:r w:rsidRPr="00A0432B">
      <w:fldChar w:fldCharType="separate"/>
    </w:r>
    <w:r w:rsidR="00112BD6">
      <w:rPr>
        <w:noProof/>
      </w:rPr>
      <w:t>12</w:t>
    </w:r>
    <w:r w:rsidRPr="00A0432B">
      <w:fldChar w:fldCharType="end"/>
    </w:r>
    <w:r w:rsidRPr="00A0432B">
      <w:t>/</w:t>
    </w:r>
    <w:r>
      <w:rPr>
        <w:noProof/>
      </w:rPr>
      <w:fldChar w:fldCharType="begin"/>
    </w:r>
    <w:r>
      <w:rPr>
        <w:noProof/>
      </w:rPr>
      <w:instrText xml:space="preserve"> NUMPAGES   \* MERGEFORMAT </w:instrText>
    </w:r>
    <w:r>
      <w:rPr>
        <w:noProof/>
      </w:rPr>
      <w:fldChar w:fldCharType="separate"/>
    </w:r>
    <w:r w:rsidR="00112BD6">
      <w:rPr>
        <w:noProof/>
      </w:rPr>
      <w:t>12</w:t>
    </w:r>
    <w:r>
      <w:rPr>
        <w:noProof/>
      </w:rPr>
      <w:fldChar w:fldCharType="end"/>
    </w:r>
  </w:p>
  <w:p w:rsidR="00E96298" w:rsidRPr="00A0432B" w:rsidRDefault="00E96298" w:rsidP="00667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6C" w:rsidRDefault="00BE4B6C" w:rsidP="00577A39">
      <w:pPr>
        <w:spacing w:after="40" w:line="240" w:lineRule="auto"/>
      </w:pPr>
      <w:r>
        <w:separator/>
      </w:r>
    </w:p>
  </w:footnote>
  <w:footnote w:type="continuationSeparator" w:id="0">
    <w:p w:rsidR="00BE4B6C" w:rsidRDefault="00BE4B6C" w:rsidP="00EA2130">
      <w:r>
        <w:continuationSeparator/>
      </w:r>
    </w:p>
  </w:footnote>
  <w:footnote w:id="1">
    <w:p w:rsidR="00E96298" w:rsidRDefault="00E96298" w:rsidP="00667809">
      <w:pPr>
        <w:pStyle w:val="FootnoteText"/>
      </w:pPr>
      <w:r>
        <w:rPr>
          <w:rStyle w:val="FootnoteReference"/>
        </w:rPr>
        <w:footnoteRef/>
      </w:r>
      <w:r>
        <w:t xml:space="preserve"> Emissions per dollar spent on catering was reduced from 1.05kg CO2-e/$ to 0.96kg CO2-e/$ between MFW2018 and MFW2019</w:t>
      </w:r>
    </w:p>
  </w:footnote>
  <w:footnote w:id="2">
    <w:p w:rsidR="00E96298" w:rsidRDefault="00E96298" w:rsidP="00667809">
      <w:pPr>
        <w:pStyle w:val="FootnoteText"/>
      </w:pPr>
      <w:r>
        <w:rPr>
          <w:rStyle w:val="FootnoteReference"/>
        </w:rPr>
        <w:footnoteRef/>
      </w:r>
      <w:r>
        <w:t xml:space="preserve"> Flight emissions offset by MFW partner at time of booking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Default="00E96298" w:rsidP="00667809">
    <w:pPr>
      <w:pStyle w:val="Header"/>
      <w:spacing w:after="120"/>
      <w:jc w:val="right"/>
    </w:pPr>
    <w:r>
      <w:t>Climate Active Public Disclosure Statement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Pr="00A0432B" w:rsidRDefault="00E96298" w:rsidP="00667809">
    <w:pPr>
      <w:jc w:val="right"/>
    </w:pPr>
    <w:r>
      <w:t>Climate Active Public Disclosure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98" w:rsidRPr="00A0432B" w:rsidRDefault="00E96298" w:rsidP="00667809">
    <w:pPr>
      <w:jc w:val="right"/>
    </w:pPr>
    <w:r>
      <w:t>Climate Active Public Disclosure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15616BEF"/>
    <w:multiLevelType w:val="hybridMultilevel"/>
    <w:tmpl w:val="054484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nsid w:val="2A2B5D1C"/>
    <w:multiLevelType w:val="multilevel"/>
    <w:tmpl w:val="16506B6C"/>
    <w:numStyleLink w:val="ListNumbers"/>
  </w:abstractNum>
  <w:abstractNum w:abstractNumId="7">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572645"/>
    <w:multiLevelType w:val="hybridMultilevel"/>
    <w:tmpl w:val="BD168364"/>
    <w:lvl w:ilvl="0" w:tplc="731EC846">
      <w:start w:val="20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C10957"/>
    <w:multiLevelType w:val="multilevel"/>
    <w:tmpl w:val="16506B6C"/>
    <w:numStyleLink w:val="ListNumbers"/>
  </w:abstractNum>
  <w:abstractNum w:abstractNumId="10">
    <w:nsid w:val="395F26EE"/>
    <w:multiLevelType w:val="hybridMultilevel"/>
    <w:tmpl w:val="E4368F3A"/>
    <w:lvl w:ilvl="0" w:tplc="FBF6AE08">
      <w:start w:val="20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44EA4"/>
    <w:multiLevelType w:val="hybridMultilevel"/>
    <w:tmpl w:val="608C655E"/>
    <w:lvl w:ilvl="0" w:tplc="FBF6AE08">
      <w:start w:val="20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7674A8"/>
    <w:multiLevelType w:val="hybridMultilevel"/>
    <w:tmpl w:val="6E9CEF02"/>
    <w:lvl w:ilvl="0" w:tplc="BD18EADC">
      <w:start w:val="1"/>
      <w:numFmt w:val="decimal"/>
      <w:lvlText w:val="%1."/>
      <w:lvlJc w:val="left"/>
      <w:pPr>
        <w:ind w:left="396" w:hanging="296"/>
        <w:jc w:val="right"/>
      </w:pPr>
      <w:rPr>
        <w:rFonts w:ascii="Calibri" w:eastAsia="Cambria" w:hAnsi="Calibri" w:hint="default"/>
        <w:spacing w:val="-1"/>
        <w:w w:val="99"/>
        <w:sz w:val="28"/>
        <w:szCs w:val="28"/>
      </w:rPr>
    </w:lvl>
    <w:lvl w:ilvl="1" w:tplc="404614B2">
      <w:start w:val="1"/>
      <w:numFmt w:val="bullet"/>
      <w:lvlText w:val=""/>
      <w:lvlJc w:val="left"/>
      <w:pPr>
        <w:ind w:left="821" w:hanging="360"/>
      </w:pPr>
      <w:rPr>
        <w:rFonts w:ascii="Symbol" w:eastAsia="Symbol" w:hAnsi="Symbol" w:hint="default"/>
        <w:color w:val="0070C0"/>
        <w:w w:val="99"/>
        <w:sz w:val="20"/>
        <w:szCs w:val="20"/>
      </w:rPr>
    </w:lvl>
    <w:lvl w:ilvl="2" w:tplc="611CC7CE">
      <w:start w:val="1"/>
      <w:numFmt w:val="bullet"/>
      <w:lvlText w:val=""/>
      <w:lvlJc w:val="left"/>
      <w:pPr>
        <w:ind w:left="1541" w:hanging="360"/>
      </w:pPr>
      <w:rPr>
        <w:rFonts w:ascii="Symbol" w:eastAsia="Symbol" w:hAnsi="Symbol" w:hint="default"/>
        <w:color w:val="0070C0"/>
        <w:w w:val="99"/>
        <w:sz w:val="20"/>
        <w:szCs w:val="20"/>
      </w:rPr>
    </w:lvl>
    <w:lvl w:ilvl="3" w:tplc="E47E5D8A">
      <w:start w:val="1"/>
      <w:numFmt w:val="bullet"/>
      <w:lvlText w:val="•"/>
      <w:lvlJc w:val="left"/>
      <w:pPr>
        <w:ind w:left="2439" w:hanging="360"/>
      </w:pPr>
      <w:rPr>
        <w:rFonts w:hint="default"/>
      </w:rPr>
    </w:lvl>
    <w:lvl w:ilvl="4" w:tplc="D128ABA6">
      <w:start w:val="1"/>
      <w:numFmt w:val="bullet"/>
      <w:lvlText w:val="•"/>
      <w:lvlJc w:val="left"/>
      <w:pPr>
        <w:ind w:left="3337" w:hanging="360"/>
      </w:pPr>
      <w:rPr>
        <w:rFonts w:hint="default"/>
      </w:rPr>
    </w:lvl>
    <w:lvl w:ilvl="5" w:tplc="9F646264">
      <w:start w:val="1"/>
      <w:numFmt w:val="bullet"/>
      <w:lvlText w:val="•"/>
      <w:lvlJc w:val="left"/>
      <w:pPr>
        <w:ind w:left="4235" w:hanging="360"/>
      </w:pPr>
      <w:rPr>
        <w:rFonts w:hint="default"/>
      </w:rPr>
    </w:lvl>
    <w:lvl w:ilvl="6" w:tplc="1DB054FC">
      <w:start w:val="1"/>
      <w:numFmt w:val="bullet"/>
      <w:lvlText w:val="•"/>
      <w:lvlJc w:val="left"/>
      <w:pPr>
        <w:ind w:left="5134" w:hanging="360"/>
      </w:pPr>
      <w:rPr>
        <w:rFonts w:hint="default"/>
      </w:rPr>
    </w:lvl>
    <w:lvl w:ilvl="7" w:tplc="BCB4E0E2">
      <w:start w:val="1"/>
      <w:numFmt w:val="bullet"/>
      <w:lvlText w:val="•"/>
      <w:lvlJc w:val="left"/>
      <w:pPr>
        <w:ind w:left="6032" w:hanging="360"/>
      </w:pPr>
      <w:rPr>
        <w:rFonts w:hint="default"/>
      </w:rPr>
    </w:lvl>
    <w:lvl w:ilvl="8" w:tplc="C6928514">
      <w:start w:val="1"/>
      <w:numFmt w:val="bullet"/>
      <w:lvlText w:val="•"/>
      <w:lvlJc w:val="left"/>
      <w:pPr>
        <w:ind w:left="6930" w:hanging="360"/>
      </w:pPr>
      <w:rPr>
        <w:rFonts w:hint="default"/>
      </w:rPr>
    </w:lvl>
  </w:abstractNum>
  <w:abstractNum w:abstractNumId="13">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1209CA"/>
    <w:multiLevelType w:val="multilevel"/>
    <w:tmpl w:val="16506B6C"/>
    <w:numStyleLink w:val="ListNumbers"/>
  </w:abstractNum>
  <w:abstractNum w:abstractNumId="15">
    <w:nsid w:val="74744DB6"/>
    <w:multiLevelType w:val="hybridMultilevel"/>
    <w:tmpl w:val="FF864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2C43DC"/>
    <w:multiLevelType w:val="multilevel"/>
    <w:tmpl w:val="16506B6C"/>
    <w:numStyleLink w:val="ListNumbers"/>
  </w:abstractNum>
  <w:abstractNum w:abstractNumId="17">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3"/>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4"/>
  </w:num>
  <w:num w:numId="19">
    <w:abstractNumId w:val="15"/>
  </w:num>
  <w:num w:numId="20">
    <w:abstractNumId w:val="8"/>
  </w:num>
  <w:num w:numId="21">
    <w:abstractNumId w:val="10"/>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3F"/>
    <w:rsid w:val="0000224B"/>
    <w:rsid w:val="00020B35"/>
    <w:rsid w:val="000437C5"/>
    <w:rsid w:val="000474AE"/>
    <w:rsid w:val="00071857"/>
    <w:rsid w:val="000A2BDA"/>
    <w:rsid w:val="000A48D5"/>
    <w:rsid w:val="000B5EAA"/>
    <w:rsid w:val="000F3535"/>
    <w:rsid w:val="00112BD6"/>
    <w:rsid w:val="00190B0E"/>
    <w:rsid w:val="001B51BF"/>
    <w:rsid w:val="001E3F68"/>
    <w:rsid w:val="001F46B4"/>
    <w:rsid w:val="001F554D"/>
    <w:rsid w:val="002436A6"/>
    <w:rsid w:val="002438B7"/>
    <w:rsid w:val="0024773F"/>
    <w:rsid w:val="002B068D"/>
    <w:rsid w:val="002D630D"/>
    <w:rsid w:val="002E4153"/>
    <w:rsid w:val="002F47B6"/>
    <w:rsid w:val="002F6A88"/>
    <w:rsid w:val="00332A36"/>
    <w:rsid w:val="00380F44"/>
    <w:rsid w:val="00392688"/>
    <w:rsid w:val="003B3E4A"/>
    <w:rsid w:val="003C08F7"/>
    <w:rsid w:val="003D63A8"/>
    <w:rsid w:val="003E3A9F"/>
    <w:rsid w:val="00407429"/>
    <w:rsid w:val="00426584"/>
    <w:rsid w:val="00431D45"/>
    <w:rsid w:val="004564F4"/>
    <w:rsid w:val="00457042"/>
    <w:rsid w:val="004878DB"/>
    <w:rsid w:val="00493E0A"/>
    <w:rsid w:val="00494A2D"/>
    <w:rsid w:val="004A26E3"/>
    <w:rsid w:val="004B2C68"/>
    <w:rsid w:val="004D00DD"/>
    <w:rsid w:val="004D452D"/>
    <w:rsid w:val="004E1ECE"/>
    <w:rsid w:val="004F54F5"/>
    <w:rsid w:val="00535159"/>
    <w:rsid w:val="0053666A"/>
    <w:rsid w:val="005620A0"/>
    <w:rsid w:val="0056634E"/>
    <w:rsid w:val="0057264C"/>
    <w:rsid w:val="00577A39"/>
    <w:rsid w:val="005814F5"/>
    <w:rsid w:val="005A3456"/>
    <w:rsid w:val="005D30BA"/>
    <w:rsid w:val="005F4391"/>
    <w:rsid w:val="00667809"/>
    <w:rsid w:val="00687D4A"/>
    <w:rsid w:val="006A2F63"/>
    <w:rsid w:val="006A3718"/>
    <w:rsid w:val="006C7F7B"/>
    <w:rsid w:val="006F6A83"/>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C6844"/>
    <w:rsid w:val="008D2DDA"/>
    <w:rsid w:val="008E2476"/>
    <w:rsid w:val="00902EE8"/>
    <w:rsid w:val="009043FC"/>
    <w:rsid w:val="009050C6"/>
    <w:rsid w:val="0091365A"/>
    <w:rsid w:val="00955E32"/>
    <w:rsid w:val="0097181E"/>
    <w:rsid w:val="00990B3C"/>
    <w:rsid w:val="009D1FBA"/>
    <w:rsid w:val="009F4681"/>
    <w:rsid w:val="00A01D13"/>
    <w:rsid w:val="00A121B3"/>
    <w:rsid w:val="00A71927"/>
    <w:rsid w:val="00A8651A"/>
    <w:rsid w:val="00A92774"/>
    <w:rsid w:val="00AA4303"/>
    <w:rsid w:val="00AB6132"/>
    <w:rsid w:val="00AD2B6E"/>
    <w:rsid w:val="00AE4857"/>
    <w:rsid w:val="00AF02E0"/>
    <w:rsid w:val="00B152AF"/>
    <w:rsid w:val="00B53D5A"/>
    <w:rsid w:val="00B61F7F"/>
    <w:rsid w:val="00B93B1F"/>
    <w:rsid w:val="00BC5E8E"/>
    <w:rsid w:val="00BC719D"/>
    <w:rsid w:val="00BE100F"/>
    <w:rsid w:val="00BE1269"/>
    <w:rsid w:val="00BE4B49"/>
    <w:rsid w:val="00BE4B6C"/>
    <w:rsid w:val="00BE6801"/>
    <w:rsid w:val="00C0000D"/>
    <w:rsid w:val="00C0291B"/>
    <w:rsid w:val="00C05740"/>
    <w:rsid w:val="00C07190"/>
    <w:rsid w:val="00C14F9F"/>
    <w:rsid w:val="00C2007C"/>
    <w:rsid w:val="00C37F6A"/>
    <w:rsid w:val="00C42412"/>
    <w:rsid w:val="00C73DA2"/>
    <w:rsid w:val="00CA3730"/>
    <w:rsid w:val="00CB6145"/>
    <w:rsid w:val="00CD382D"/>
    <w:rsid w:val="00CF7614"/>
    <w:rsid w:val="00D00427"/>
    <w:rsid w:val="00D02C4A"/>
    <w:rsid w:val="00D46B11"/>
    <w:rsid w:val="00D5586A"/>
    <w:rsid w:val="00D77363"/>
    <w:rsid w:val="00DA5DDE"/>
    <w:rsid w:val="00E4646D"/>
    <w:rsid w:val="00E5089C"/>
    <w:rsid w:val="00E86DCD"/>
    <w:rsid w:val="00E94A1C"/>
    <w:rsid w:val="00E96298"/>
    <w:rsid w:val="00EA185E"/>
    <w:rsid w:val="00EA2130"/>
    <w:rsid w:val="00EC4AF9"/>
    <w:rsid w:val="00EC5508"/>
    <w:rsid w:val="00ED7629"/>
    <w:rsid w:val="00EF11AE"/>
    <w:rsid w:val="00F03DF7"/>
    <w:rsid w:val="00F07FBE"/>
    <w:rsid w:val="00F24B46"/>
    <w:rsid w:val="00F4048D"/>
    <w:rsid w:val="00F41FC6"/>
    <w:rsid w:val="00F5083F"/>
    <w:rsid w:val="00F608ED"/>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table of figures"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qFormat="1"/>
    <w:lsdException w:name="List Number" w:qFormat="1"/>
    <w:lsdException w:name="Title" w:semiHidden="0" w:unhideWhenUsed="0"/>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qFormat/>
    <w:rsid w:val="00E96298"/>
    <w:pPr>
      <w:spacing w:before="240" w:after="24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uiPriority w:val="9"/>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after="60"/>
      <w:outlineLvl w:val="5"/>
    </w:pPr>
    <w:rPr>
      <w:bCs/>
      <w:szCs w:val="22"/>
    </w:rPr>
  </w:style>
  <w:style w:type="paragraph" w:styleId="Heading7">
    <w:name w:val="heading 7"/>
    <w:basedOn w:val="Normal"/>
    <w:next w:val="Normal"/>
    <w:link w:val="Heading7Char"/>
    <w:rsid w:val="00C2007C"/>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aliases w:val="Footer small"/>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aliases w:val="Footer small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aliases w:val="Body of text - Bullet point"/>
    <w:basedOn w:val="Normal"/>
    <w:link w:val="ListParagraphChar"/>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D5586A"/>
    <w:pPr>
      <w:spacing w:before="48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667809"/>
    <w:pPr>
      <w:spacing w:before="100" w:beforeAutospacing="1" w:after="100" w:afterAutospacing="1" w:line="240" w:lineRule="auto"/>
    </w:pPr>
    <w:rPr>
      <w:rFonts w:ascii="Times New Roman" w:eastAsiaTheme="minorEastAsia" w:hAnsi="Times New Roman"/>
      <w:sz w:val="24"/>
      <w:lang w:eastAsia="en-AU"/>
    </w:rPr>
  </w:style>
  <w:style w:type="table" w:customStyle="1" w:styleId="TableGrid11">
    <w:name w:val="Table Grid11"/>
    <w:basedOn w:val="TableNormal"/>
    <w:next w:val="TableGrid"/>
    <w:uiPriority w:val="59"/>
    <w:rsid w:val="006678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809"/>
    <w:rPr>
      <w:sz w:val="16"/>
      <w:szCs w:val="16"/>
    </w:rPr>
  </w:style>
  <w:style w:type="paragraph" w:styleId="CommentText">
    <w:name w:val="annotation text"/>
    <w:basedOn w:val="Normal"/>
    <w:link w:val="CommentTextChar"/>
    <w:uiPriority w:val="99"/>
    <w:semiHidden/>
    <w:unhideWhenUsed/>
    <w:rsid w:val="00667809"/>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6780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67809"/>
    <w:rPr>
      <w:b/>
      <w:bCs/>
    </w:rPr>
  </w:style>
  <w:style w:type="character" w:customStyle="1" w:styleId="CommentSubjectChar">
    <w:name w:val="Comment Subject Char"/>
    <w:basedOn w:val="CommentTextChar"/>
    <w:link w:val="CommentSubject"/>
    <w:uiPriority w:val="99"/>
    <w:semiHidden/>
    <w:rsid w:val="00667809"/>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667809"/>
    <w:pPr>
      <w:widowControl w:val="0"/>
      <w:spacing w:after="0" w:line="240" w:lineRule="auto"/>
    </w:pPr>
    <w:rPr>
      <w:rFonts w:asciiTheme="minorHAnsi" w:eastAsiaTheme="minorHAnsi" w:hAnsiTheme="minorHAnsi" w:cstheme="minorBidi"/>
      <w:sz w:val="22"/>
      <w:szCs w:val="22"/>
      <w:lang w:val="en-US"/>
    </w:rPr>
  </w:style>
  <w:style w:type="paragraph" w:styleId="Revision">
    <w:name w:val="Revision"/>
    <w:hidden/>
    <w:uiPriority w:val="99"/>
    <w:semiHidden/>
    <w:rsid w:val="00667809"/>
    <w:rPr>
      <w:rFonts w:asciiTheme="minorHAnsi" w:eastAsiaTheme="minorHAnsi" w:hAnsiTheme="minorHAnsi" w:cstheme="minorBidi"/>
      <w:sz w:val="22"/>
      <w:szCs w:val="22"/>
      <w:lang w:eastAsia="en-US"/>
    </w:rPr>
  </w:style>
  <w:style w:type="character" w:customStyle="1" w:styleId="ListParagraphChar">
    <w:name w:val="List Paragraph Char"/>
    <w:aliases w:val="Body of text - Bullet point Char"/>
    <w:basedOn w:val="DefaultParagraphFont"/>
    <w:link w:val="ListParagraph"/>
    <w:uiPriority w:val="34"/>
    <w:rsid w:val="00667809"/>
    <w:rPr>
      <w:rFonts w:ascii="Arial" w:hAnsi="Arial"/>
      <w:szCs w:val="24"/>
      <w:lang w:val="en-US" w:eastAsia="en-US"/>
    </w:rPr>
  </w:style>
  <w:style w:type="paragraph" w:styleId="BodyText">
    <w:name w:val="Body Text"/>
    <w:basedOn w:val="Normal"/>
    <w:link w:val="BodyTextChar"/>
    <w:qFormat/>
    <w:rsid w:val="00667809"/>
    <w:pPr>
      <w:spacing w:before="200" w:line="288" w:lineRule="auto"/>
    </w:pPr>
    <w:rPr>
      <w:rFonts w:eastAsia="Cambria"/>
      <w:szCs w:val="20"/>
      <w:lang w:eastAsia="en-AU"/>
    </w:rPr>
  </w:style>
  <w:style w:type="character" w:customStyle="1" w:styleId="BodyTextChar">
    <w:name w:val="Body Text Char"/>
    <w:basedOn w:val="DefaultParagraphFont"/>
    <w:link w:val="BodyText"/>
    <w:rsid w:val="00667809"/>
    <w:rPr>
      <w:rFonts w:ascii="Arial" w:eastAsia="Cambria" w:hAnsi="Arial"/>
    </w:rPr>
  </w:style>
  <w:style w:type="paragraph" w:customStyle="1" w:styleId="BoldHeading">
    <w:name w:val="Bold Heading"/>
    <w:basedOn w:val="BodyText"/>
    <w:qFormat/>
    <w:rsid w:val="00667809"/>
    <w:pPr>
      <w:tabs>
        <w:tab w:val="left" w:pos="426"/>
      </w:tabs>
    </w:pPr>
    <w:rPr>
      <w:rFonts w:ascii="Arial Bold" w:hAnsi="Arial Bold"/>
    </w:rPr>
  </w:style>
  <w:style w:type="paragraph" w:customStyle="1" w:styleId="Default">
    <w:name w:val="Default"/>
    <w:rsid w:val="00667809"/>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table of figures"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qFormat="1"/>
    <w:lsdException w:name="List Number" w:qFormat="1"/>
    <w:lsdException w:name="Title" w:semiHidden="0" w:unhideWhenUsed="0"/>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qFormat/>
    <w:rsid w:val="00E96298"/>
    <w:pPr>
      <w:spacing w:before="240" w:after="24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uiPriority w:val="9"/>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after="60"/>
      <w:outlineLvl w:val="5"/>
    </w:pPr>
    <w:rPr>
      <w:bCs/>
      <w:szCs w:val="22"/>
    </w:rPr>
  </w:style>
  <w:style w:type="paragraph" w:styleId="Heading7">
    <w:name w:val="heading 7"/>
    <w:basedOn w:val="Normal"/>
    <w:next w:val="Normal"/>
    <w:link w:val="Heading7Char"/>
    <w:rsid w:val="00C2007C"/>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aliases w:val="Footer small"/>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aliases w:val="Footer small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aliases w:val="Body of text - Bullet point"/>
    <w:basedOn w:val="Normal"/>
    <w:link w:val="ListParagraphChar"/>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D5586A"/>
    <w:pPr>
      <w:spacing w:before="48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667809"/>
    <w:pPr>
      <w:spacing w:before="100" w:beforeAutospacing="1" w:after="100" w:afterAutospacing="1" w:line="240" w:lineRule="auto"/>
    </w:pPr>
    <w:rPr>
      <w:rFonts w:ascii="Times New Roman" w:eastAsiaTheme="minorEastAsia" w:hAnsi="Times New Roman"/>
      <w:sz w:val="24"/>
      <w:lang w:eastAsia="en-AU"/>
    </w:rPr>
  </w:style>
  <w:style w:type="table" w:customStyle="1" w:styleId="TableGrid11">
    <w:name w:val="Table Grid11"/>
    <w:basedOn w:val="TableNormal"/>
    <w:next w:val="TableGrid"/>
    <w:uiPriority w:val="59"/>
    <w:rsid w:val="006678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809"/>
    <w:rPr>
      <w:sz w:val="16"/>
      <w:szCs w:val="16"/>
    </w:rPr>
  </w:style>
  <w:style w:type="paragraph" w:styleId="CommentText">
    <w:name w:val="annotation text"/>
    <w:basedOn w:val="Normal"/>
    <w:link w:val="CommentTextChar"/>
    <w:uiPriority w:val="99"/>
    <w:semiHidden/>
    <w:unhideWhenUsed/>
    <w:rsid w:val="00667809"/>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6780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67809"/>
    <w:rPr>
      <w:b/>
      <w:bCs/>
    </w:rPr>
  </w:style>
  <w:style w:type="character" w:customStyle="1" w:styleId="CommentSubjectChar">
    <w:name w:val="Comment Subject Char"/>
    <w:basedOn w:val="CommentTextChar"/>
    <w:link w:val="CommentSubject"/>
    <w:uiPriority w:val="99"/>
    <w:semiHidden/>
    <w:rsid w:val="00667809"/>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667809"/>
    <w:pPr>
      <w:widowControl w:val="0"/>
      <w:spacing w:after="0" w:line="240" w:lineRule="auto"/>
    </w:pPr>
    <w:rPr>
      <w:rFonts w:asciiTheme="minorHAnsi" w:eastAsiaTheme="minorHAnsi" w:hAnsiTheme="minorHAnsi" w:cstheme="minorBidi"/>
      <w:sz w:val="22"/>
      <w:szCs w:val="22"/>
      <w:lang w:val="en-US"/>
    </w:rPr>
  </w:style>
  <w:style w:type="paragraph" w:styleId="Revision">
    <w:name w:val="Revision"/>
    <w:hidden/>
    <w:uiPriority w:val="99"/>
    <w:semiHidden/>
    <w:rsid w:val="00667809"/>
    <w:rPr>
      <w:rFonts w:asciiTheme="minorHAnsi" w:eastAsiaTheme="minorHAnsi" w:hAnsiTheme="minorHAnsi" w:cstheme="minorBidi"/>
      <w:sz w:val="22"/>
      <w:szCs w:val="22"/>
      <w:lang w:eastAsia="en-US"/>
    </w:rPr>
  </w:style>
  <w:style w:type="character" w:customStyle="1" w:styleId="ListParagraphChar">
    <w:name w:val="List Paragraph Char"/>
    <w:aliases w:val="Body of text - Bullet point Char"/>
    <w:basedOn w:val="DefaultParagraphFont"/>
    <w:link w:val="ListParagraph"/>
    <w:uiPriority w:val="34"/>
    <w:rsid w:val="00667809"/>
    <w:rPr>
      <w:rFonts w:ascii="Arial" w:hAnsi="Arial"/>
      <w:szCs w:val="24"/>
      <w:lang w:val="en-US" w:eastAsia="en-US"/>
    </w:rPr>
  </w:style>
  <w:style w:type="paragraph" w:styleId="BodyText">
    <w:name w:val="Body Text"/>
    <w:basedOn w:val="Normal"/>
    <w:link w:val="BodyTextChar"/>
    <w:qFormat/>
    <w:rsid w:val="00667809"/>
    <w:pPr>
      <w:spacing w:before="200" w:line="288" w:lineRule="auto"/>
    </w:pPr>
    <w:rPr>
      <w:rFonts w:eastAsia="Cambria"/>
      <w:szCs w:val="20"/>
      <w:lang w:eastAsia="en-AU"/>
    </w:rPr>
  </w:style>
  <w:style w:type="character" w:customStyle="1" w:styleId="BodyTextChar">
    <w:name w:val="Body Text Char"/>
    <w:basedOn w:val="DefaultParagraphFont"/>
    <w:link w:val="BodyText"/>
    <w:rsid w:val="00667809"/>
    <w:rPr>
      <w:rFonts w:ascii="Arial" w:eastAsia="Cambria" w:hAnsi="Arial"/>
    </w:rPr>
  </w:style>
  <w:style w:type="paragraph" w:customStyle="1" w:styleId="BoldHeading">
    <w:name w:val="Bold Heading"/>
    <w:basedOn w:val="BodyText"/>
    <w:qFormat/>
    <w:rsid w:val="00667809"/>
    <w:pPr>
      <w:tabs>
        <w:tab w:val="left" w:pos="426"/>
      </w:tabs>
    </w:pPr>
    <w:rPr>
      <w:rFonts w:ascii="Arial Bold" w:hAnsi="Arial Bold"/>
    </w:rPr>
  </w:style>
  <w:style w:type="paragraph" w:customStyle="1" w:styleId="Default">
    <w:name w:val="Default"/>
    <w:rsid w:val="00667809"/>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cid:image005.jpg@01D62D36.955B7090"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35AFB-A789-47C1-A0DF-F7A6EE66E2D0}">
  <ds:schemaRefs>
    <ds:schemaRef ds:uri="http://schemas.openxmlformats.org/officeDocument/2006/bibliography"/>
  </ds:schemaRefs>
</ds:datastoreItem>
</file>

<file path=customXml/itemProps2.xml><?xml version="1.0" encoding="utf-8"?>
<ds:datastoreItem xmlns:ds="http://schemas.openxmlformats.org/officeDocument/2006/customXml" ds:itemID="{FA077BE1-4CF8-4CBA-AD62-01E8155165C8}"/>
</file>

<file path=customXml/itemProps3.xml><?xml version="1.0" encoding="utf-8"?>
<ds:datastoreItem xmlns:ds="http://schemas.openxmlformats.org/officeDocument/2006/customXml" ds:itemID="{09656456-90D8-4BCB-BA3A-EE9843AE4FFC}"/>
</file>

<file path=customXml/itemProps4.xml><?xml version="1.0" encoding="utf-8"?>
<ds:datastoreItem xmlns:ds="http://schemas.openxmlformats.org/officeDocument/2006/customXml" ds:itemID="{437BFE34-5D11-4DC5-B7DB-6F40C84DDDF7}"/>
</file>

<file path=docProps/app.xml><?xml version="1.0" encoding="utf-8"?>
<Properties xmlns="http://schemas.openxmlformats.org/officeDocument/2006/extended-properties" xmlns:vt="http://schemas.openxmlformats.org/officeDocument/2006/docPropsVTypes">
  <Template>9F41D396</Template>
  <TotalTime>0</TotalTime>
  <Pages>1</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Climate Active Public Disclosure Statement</dc:title>
  <dc:creator/>
  <cp:keywords/>
  <cp:lastModifiedBy/>
  <cp:revision>1</cp:revision>
  <dcterms:created xsi:type="dcterms:W3CDTF">2020-08-10T03:28:00Z</dcterms:created>
  <dcterms:modified xsi:type="dcterms:W3CDTF">2020-08-10T03:28:00Z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