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7844A5" w:rsidP="00020B35">
      <w:pPr>
        <w:pStyle w:val="DocumentTitle"/>
        <w:spacing w:before="3360"/>
      </w:pPr>
      <w:r>
        <w:t>Climate Active</w:t>
      </w:r>
      <w:r>
        <w:br/>
        <w:t>Public Disclosure Statement</w:t>
      </w:r>
    </w:p>
    <w:p w:rsidR="000F3535" w:rsidRDefault="007844A5" w:rsidP="001B51BF">
      <w:pPr>
        <w:pStyle w:val="Subtitle"/>
      </w:pPr>
      <w:r>
        <w:t>City of Melbourne</w:t>
      </w:r>
    </w:p>
    <w:p w:rsidR="007844A5" w:rsidRDefault="007844A5" w:rsidP="00235B6A">
      <w:pPr>
        <w:pStyle w:val="Subtitle2"/>
      </w:pPr>
      <w:r>
        <w:t>Organisation Certification FY2022-23</w:t>
      </w:r>
      <w:r w:rsidR="00020B35">
        <w:br w:type="page"/>
      </w:r>
      <w:bookmarkStart w:id="1" w:name="_Toc403992663"/>
      <w:bookmarkStart w:id="2" w:name="_Toc403992345"/>
      <w:bookmarkStart w:id="3" w:name="_Toc403992580"/>
    </w:p>
    <w:p w:rsidR="007844A5" w:rsidRDefault="007844A5" w:rsidP="00020B35">
      <w:pPr>
        <w:pStyle w:val="TOCHeading"/>
        <w:rPr>
          <w:rFonts w:hint="eastAsia"/>
        </w:rPr>
      </w:pPr>
      <w:r>
        <w:lastRenderedPageBreak/>
        <w:t>Australian Government</w:t>
      </w:r>
    </w:p>
    <w:p w:rsidR="007844A5" w:rsidRDefault="007844A5" w:rsidP="007844A5">
      <w:pPr>
        <w:pStyle w:val="Heading1"/>
        <w:rPr>
          <w:rFonts w:hint="eastAsia"/>
        </w:rPr>
      </w:pPr>
      <w:bookmarkStart w:id="4" w:name="_Toc158887332"/>
      <w:r>
        <w:t>Climate Active</w:t>
      </w:r>
      <w:bookmarkEnd w:id="4"/>
    </w:p>
    <w:p w:rsidR="007844A5" w:rsidRDefault="007844A5" w:rsidP="007844A5">
      <w:pPr>
        <w:pStyle w:val="Heading1"/>
        <w:rPr>
          <w:rFonts w:hint="eastAsia"/>
        </w:rPr>
      </w:pPr>
      <w:bookmarkStart w:id="5" w:name="_Toc158887333"/>
      <w:r>
        <w:t>Public Disclosure Statement</w:t>
      </w:r>
      <w:bookmarkEnd w:id="5"/>
    </w:p>
    <w:p w:rsidR="007844A5" w:rsidRDefault="007844A5" w:rsidP="007844A5">
      <w:pPr>
        <w:rPr>
          <w:lang w:val="en-US"/>
        </w:rPr>
      </w:pPr>
      <w:r w:rsidRPr="007844A5">
        <w:rPr>
          <w:b/>
          <w:lang w:val="en-US"/>
        </w:rPr>
        <w:t>Name of Certified Entity:</w:t>
      </w:r>
      <w:r>
        <w:rPr>
          <w:lang w:val="en-US"/>
        </w:rPr>
        <w:t xml:space="preserve"> City of Melbourne</w:t>
      </w:r>
    </w:p>
    <w:p w:rsidR="007844A5" w:rsidRDefault="007844A5" w:rsidP="007844A5">
      <w:pPr>
        <w:rPr>
          <w:lang w:val="en-US"/>
        </w:rPr>
      </w:pPr>
      <w:r w:rsidRPr="007844A5">
        <w:rPr>
          <w:b/>
          <w:lang w:val="en-US"/>
        </w:rPr>
        <w:t>Reporting Period:</w:t>
      </w:r>
      <w:r>
        <w:rPr>
          <w:lang w:val="en-US"/>
        </w:rPr>
        <w:t xml:space="preserve"> 1 July 2022 – 30 June 2023 (Arrears report)</w:t>
      </w:r>
    </w:p>
    <w:p w:rsidR="007844A5" w:rsidRPr="007844A5" w:rsidRDefault="007844A5" w:rsidP="007844A5">
      <w:pPr>
        <w:rPr>
          <w:b/>
          <w:lang w:val="en-US"/>
        </w:rPr>
      </w:pPr>
      <w:r w:rsidRPr="007844A5">
        <w:rPr>
          <w:b/>
          <w:lang w:val="en-US"/>
        </w:rPr>
        <w:t>Declaration:</w:t>
      </w:r>
    </w:p>
    <w:p w:rsidR="007844A5" w:rsidRPr="00B5323C" w:rsidRDefault="007844A5" w:rsidP="007844A5">
      <w:pPr>
        <w:pStyle w:val="Nospace"/>
        <w:rPr>
          <w:i/>
        </w:rPr>
      </w:pPr>
      <w:r w:rsidRPr="00B5323C">
        <w:rPr>
          <w:i/>
        </w:rPr>
        <w:t>To the best of my knowledge, the information provided in this public</w:t>
      </w:r>
    </w:p>
    <w:p w:rsidR="007844A5" w:rsidRPr="00B5323C" w:rsidRDefault="007844A5" w:rsidP="007844A5">
      <w:pPr>
        <w:pStyle w:val="Nospace"/>
        <w:rPr>
          <w:i/>
        </w:rPr>
      </w:pPr>
      <w:r w:rsidRPr="00B5323C">
        <w:rPr>
          <w:i/>
        </w:rPr>
        <w:t>disclosure statement is true and correct and meets the requirements</w:t>
      </w:r>
    </w:p>
    <w:p w:rsidR="007844A5" w:rsidRDefault="007844A5" w:rsidP="007844A5">
      <w:pPr>
        <w:pStyle w:val="Nospace"/>
        <w:spacing w:after="360"/>
      </w:pPr>
      <w:r w:rsidRPr="00B5323C">
        <w:rPr>
          <w:i/>
        </w:rPr>
        <w:t>of the Climate Active Carbon Neutral Standard.</w:t>
      </w:r>
    </w:p>
    <w:p w:rsidR="007844A5" w:rsidRDefault="007844A5" w:rsidP="007844A5">
      <w:pPr>
        <w:pStyle w:val="Nospace"/>
      </w:pPr>
      <w:r>
        <w:t>Alison Leighton</w:t>
      </w:r>
    </w:p>
    <w:p w:rsidR="007844A5" w:rsidRPr="00DF782F" w:rsidRDefault="007844A5" w:rsidP="007844A5">
      <w:pPr>
        <w:pStyle w:val="Nospace"/>
        <w:rPr>
          <w:lang w:val="en-US"/>
        </w:rPr>
      </w:pPr>
      <w:r>
        <w:t>Acting Chief Executive Officer</w:t>
      </w:r>
    </w:p>
    <w:p w:rsidR="007844A5" w:rsidRDefault="007844A5" w:rsidP="007844A5">
      <w:pPr>
        <w:rPr>
          <w:lang w:val="en-US"/>
        </w:rPr>
      </w:pPr>
      <w:r>
        <w:rPr>
          <w:lang w:val="en-US"/>
        </w:rPr>
        <w:t>30 October 2023</w:t>
      </w:r>
    </w:p>
    <w:p w:rsidR="00BB6D16" w:rsidRPr="00DF782F" w:rsidRDefault="00BB6D16" w:rsidP="00BB6D16">
      <w:pPr>
        <w:pStyle w:val="Heading3"/>
        <w:spacing w:before="7080"/>
        <w:rPr>
          <w:rFonts w:hint="eastAsia"/>
          <w:sz w:val="20"/>
        </w:rPr>
      </w:pPr>
      <w:bookmarkStart w:id="6" w:name="_Toc88829948"/>
      <w:bookmarkStart w:id="7" w:name="_Toc88562231"/>
      <w:bookmarkStart w:id="8" w:name="_Toc158887334"/>
      <w:r w:rsidRPr="00DF782F">
        <w:rPr>
          <w:sz w:val="20"/>
        </w:rPr>
        <w:t xml:space="preserve">Australian Government: Department of </w:t>
      </w:r>
      <w:bookmarkEnd w:id="6"/>
      <w:bookmarkEnd w:id="7"/>
      <w:r w:rsidRPr="00DF782F">
        <w:rPr>
          <w:sz w:val="20"/>
        </w:rPr>
        <w:t>Climate Change, Energy, the Environment and Water</w:t>
      </w:r>
      <w:bookmarkEnd w:id="8"/>
    </w:p>
    <w:p w:rsidR="00BB6D16" w:rsidRPr="00DF782F" w:rsidRDefault="00BB6D16" w:rsidP="00BB6D16">
      <w:pPr>
        <w:rPr>
          <w:sz w:val="16"/>
          <w:lang w:val="en-US"/>
        </w:rPr>
      </w:pPr>
      <w:r w:rsidRPr="00DF782F">
        <w:rPr>
          <w:sz w:val="16"/>
          <w:lang w:val="en-US"/>
        </w:rPr>
        <w:t>Public Disclosure Statement documents are prepared by the submitting organisation. The material in the Public Disclosure Statement document represents the views of the organisation and do not necessarily reflect the views of the Commonwealth. The Commonwealth does not guarantee the accuracy of the contents of the Public Disclosure Statement document and disclaims liability for any loss arising from the use of the document for any purpose.</w:t>
      </w:r>
    </w:p>
    <w:p w:rsidR="00BB6D16" w:rsidRPr="00DF782F" w:rsidRDefault="00BB6D16" w:rsidP="00BB6D16">
      <w:pPr>
        <w:rPr>
          <w:sz w:val="16"/>
          <w:lang w:val="en-US"/>
        </w:rPr>
      </w:pPr>
      <w:r w:rsidRPr="00DF782F">
        <w:rPr>
          <w:sz w:val="16"/>
          <w:lang w:val="en-US"/>
        </w:rPr>
        <w:t xml:space="preserve">Version </w:t>
      </w:r>
      <w:r>
        <w:rPr>
          <w:sz w:val="16"/>
          <w:lang w:val="en-US"/>
        </w:rPr>
        <w:t>August 2023</w:t>
      </w:r>
      <w:r w:rsidRPr="00DF782F">
        <w:rPr>
          <w:sz w:val="16"/>
          <w:lang w:val="en-US"/>
        </w:rPr>
        <w:t>.</w:t>
      </w:r>
    </w:p>
    <w:p w:rsidR="00BB6D16" w:rsidRDefault="00BB6D16" w:rsidP="00477806">
      <w:pPr>
        <w:pStyle w:val="Heading1"/>
        <w:rPr>
          <w:rFonts w:hint="eastAsia"/>
        </w:rPr>
      </w:pPr>
      <w:bookmarkStart w:id="9" w:name="_Toc158887335"/>
      <w:r>
        <w:lastRenderedPageBreak/>
        <w:t>1. Certification Summary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256"/>
        <w:gridCol w:w="4536"/>
      </w:tblGrid>
      <w:tr w:rsidR="00BB6D16" w:rsidRPr="00B531F4" w:rsidTr="004E4A3F">
        <w:tc>
          <w:tcPr>
            <w:tcW w:w="3256" w:type="dxa"/>
            <w:tcBorders>
              <w:top w:val="single" w:sz="4" w:space="0" w:color="auto"/>
              <w:left w:val="single" w:sz="4" w:space="0" w:color="auto"/>
              <w:bottom w:val="single" w:sz="4" w:space="0" w:color="auto"/>
              <w:right w:val="single" w:sz="4" w:space="0" w:color="auto"/>
            </w:tcBorders>
            <w:hideMark/>
          </w:tcPr>
          <w:p w:rsidR="00BB6D16" w:rsidRPr="00B531F4" w:rsidRDefault="00BB6D16" w:rsidP="004E4A3F">
            <w:pPr>
              <w:pStyle w:val="TableofFigures"/>
              <w:rPr>
                <w:b/>
              </w:rPr>
            </w:pPr>
            <w:r w:rsidRPr="00B531F4">
              <w:rPr>
                <w:b/>
              </w:rPr>
              <w:t>Total emissions offset</w:t>
            </w:r>
          </w:p>
        </w:tc>
        <w:tc>
          <w:tcPr>
            <w:tcW w:w="4536" w:type="dxa"/>
            <w:tcBorders>
              <w:top w:val="single" w:sz="4" w:space="0" w:color="auto"/>
              <w:left w:val="single" w:sz="4" w:space="0" w:color="auto"/>
              <w:bottom w:val="single" w:sz="4" w:space="0" w:color="auto"/>
              <w:right w:val="single" w:sz="4" w:space="0" w:color="auto"/>
            </w:tcBorders>
            <w:hideMark/>
          </w:tcPr>
          <w:p w:rsidR="00BB6D16" w:rsidRPr="00B531F4" w:rsidRDefault="00BB6D16" w:rsidP="004E4A3F">
            <w:pPr>
              <w:pStyle w:val="TableofFigures"/>
              <w:rPr>
                <w:b/>
              </w:rPr>
            </w:pPr>
            <w:r w:rsidRPr="00BB6D16">
              <w:rPr>
                <w:b/>
              </w:rPr>
              <w:t>12,175</w:t>
            </w:r>
            <w:r>
              <w:rPr>
                <w:b/>
              </w:rPr>
              <w:t xml:space="preserve"> </w:t>
            </w:r>
            <w:r w:rsidRPr="00B531F4">
              <w:rPr>
                <w:b/>
              </w:rPr>
              <w:t>tCO2-e</w:t>
            </w:r>
          </w:p>
        </w:tc>
      </w:tr>
      <w:tr w:rsidR="00BB6D16" w:rsidRPr="00B531F4" w:rsidTr="004E4A3F">
        <w:tc>
          <w:tcPr>
            <w:tcW w:w="3256" w:type="dxa"/>
            <w:tcBorders>
              <w:top w:val="single" w:sz="4" w:space="0" w:color="auto"/>
              <w:left w:val="single" w:sz="4" w:space="0" w:color="auto"/>
              <w:bottom w:val="single" w:sz="4" w:space="0" w:color="auto"/>
              <w:right w:val="single" w:sz="4" w:space="0" w:color="auto"/>
            </w:tcBorders>
            <w:hideMark/>
          </w:tcPr>
          <w:p w:rsidR="00BB6D16" w:rsidRPr="00B531F4" w:rsidRDefault="00BB6D16" w:rsidP="00BB6D16">
            <w:pPr>
              <w:pStyle w:val="TableofFigures"/>
            </w:pPr>
            <w:r w:rsidRPr="00B531F4">
              <w:t xml:space="preserve">Offsets </w:t>
            </w:r>
            <w:r>
              <w:t>Used</w:t>
            </w:r>
          </w:p>
        </w:tc>
        <w:tc>
          <w:tcPr>
            <w:tcW w:w="4536" w:type="dxa"/>
            <w:tcBorders>
              <w:top w:val="single" w:sz="4" w:space="0" w:color="auto"/>
              <w:left w:val="single" w:sz="4" w:space="0" w:color="auto"/>
              <w:bottom w:val="single" w:sz="4" w:space="0" w:color="auto"/>
              <w:right w:val="single" w:sz="4" w:space="0" w:color="auto"/>
            </w:tcBorders>
            <w:hideMark/>
          </w:tcPr>
          <w:p w:rsidR="00BB6D16" w:rsidRPr="00B531F4" w:rsidRDefault="00BC4781" w:rsidP="004E4A3F">
            <w:pPr>
              <w:pStyle w:val="TableofFigures"/>
            </w:pPr>
            <w:r w:rsidRPr="00BC4781">
              <w:t>Verified Emissions Reductions (VERs) 38% and  Verified Carbon Units (VCUs) 62%</w:t>
            </w:r>
          </w:p>
        </w:tc>
      </w:tr>
      <w:tr w:rsidR="00BB6D16" w:rsidRPr="00B531F4" w:rsidTr="004E4A3F">
        <w:tc>
          <w:tcPr>
            <w:tcW w:w="3256" w:type="dxa"/>
            <w:tcBorders>
              <w:top w:val="single" w:sz="4" w:space="0" w:color="auto"/>
              <w:left w:val="single" w:sz="4" w:space="0" w:color="auto"/>
              <w:bottom w:val="single" w:sz="4" w:space="0" w:color="auto"/>
              <w:right w:val="single" w:sz="4" w:space="0" w:color="auto"/>
            </w:tcBorders>
            <w:hideMark/>
          </w:tcPr>
          <w:p w:rsidR="00BB6D16" w:rsidRPr="00B531F4" w:rsidRDefault="00BB6D16" w:rsidP="004E4A3F">
            <w:pPr>
              <w:pStyle w:val="TableofFigures"/>
            </w:pPr>
            <w:r w:rsidRPr="00B531F4">
              <w:t>Renewable Electricity</w:t>
            </w:r>
          </w:p>
        </w:tc>
        <w:tc>
          <w:tcPr>
            <w:tcW w:w="4536" w:type="dxa"/>
            <w:tcBorders>
              <w:top w:val="single" w:sz="4" w:space="0" w:color="auto"/>
              <w:left w:val="single" w:sz="4" w:space="0" w:color="auto"/>
              <w:bottom w:val="single" w:sz="4" w:space="0" w:color="auto"/>
              <w:right w:val="single" w:sz="4" w:space="0" w:color="auto"/>
            </w:tcBorders>
            <w:hideMark/>
          </w:tcPr>
          <w:p w:rsidR="00BB6D16" w:rsidRPr="00B531F4" w:rsidRDefault="00BC05BB" w:rsidP="004E4A3F">
            <w:pPr>
              <w:pStyle w:val="TableofFigures"/>
            </w:pPr>
            <w:r w:rsidRPr="00BC05BB">
              <w:t>Total renewables: 98.21%</w:t>
            </w:r>
          </w:p>
        </w:tc>
      </w:tr>
      <w:tr w:rsidR="00BC05BB" w:rsidRPr="00B531F4" w:rsidTr="004E4A3F">
        <w:tc>
          <w:tcPr>
            <w:tcW w:w="3256" w:type="dxa"/>
            <w:tcBorders>
              <w:top w:val="single" w:sz="4" w:space="0" w:color="auto"/>
              <w:left w:val="single" w:sz="4" w:space="0" w:color="auto"/>
              <w:bottom w:val="single" w:sz="4" w:space="0" w:color="auto"/>
              <w:right w:val="single" w:sz="4" w:space="0" w:color="auto"/>
            </w:tcBorders>
          </w:tcPr>
          <w:p w:rsidR="00BC05BB" w:rsidRPr="00B531F4" w:rsidRDefault="00BC05BB" w:rsidP="004E4A3F">
            <w:pPr>
              <w:pStyle w:val="TableofFigures"/>
            </w:pPr>
            <w:r>
              <w:t>Carbon Account</w:t>
            </w:r>
          </w:p>
        </w:tc>
        <w:tc>
          <w:tcPr>
            <w:tcW w:w="4536" w:type="dxa"/>
            <w:tcBorders>
              <w:top w:val="single" w:sz="4" w:space="0" w:color="auto"/>
              <w:left w:val="single" w:sz="4" w:space="0" w:color="auto"/>
              <w:bottom w:val="single" w:sz="4" w:space="0" w:color="auto"/>
              <w:right w:val="single" w:sz="4" w:space="0" w:color="auto"/>
            </w:tcBorders>
          </w:tcPr>
          <w:p w:rsidR="00BC05BB" w:rsidRPr="00BC05BB" w:rsidRDefault="00BC05BB" w:rsidP="004E4A3F">
            <w:pPr>
              <w:pStyle w:val="TableofFigures"/>
            </w:pPr>
            <w:r w:rsidRPr="00BC05BB">
              <w:t>Prepared by: City of Melbourne</w:t>
            </w:r>
          </w:p>
        </w:tc>
      </w:tr>
      <w:tr w:rsidR="00BB6D16" w:rsidRPr="00B531F4" w:rsidTr="004E4A3F">
        <w:tc>
          <w:tcPr>
            <w:tcW w:w="3256" w:type="dxa"/>
            <w:tcBorders>
              <w:top w:val="single" w:sz="4" w:space="0" w:color="auto"/>
              <w:left w:val="single" w:sz="4" w:space="0" w:color="auto"/>
              <w:bottom w:val="single" w:sz="4" w:space="0" w:color="auto"/>
              <w:right w:val="single" w:sz="4" w:space="0" w:color="auto"/>
            </w:tcBorders>
            <w:hideMark/>
          </w:tcPr>
          <w:p w:rsidR="00BB6D16" w:rsidRPr="00B531F4" w:rsidRDefault="00BB6D16" w:rsidP="004E4A3F">
            <w:pPr>
              <w:pStyle w:val="TableofFigures"/>
            </w:pPr>
            <w:r w:rsidRPr="00B531F4">
              <w:t>Technical Assessment</w:t>
            </w:r>
          </w:p>
        </w:tc>
        <w:tc>
          <w:tcPr>
            <w:tcW w:w="4536" w:type="dxa"/>
            <w:tcBorders>
              <w:top w:val="single" w:sz="4" w:space="0" w:color="auto"/>
              <w:left w:val="single" w:sz="4" w:space="0" w:color="auto"/>
              <w:bottom w:val="single" w:sz="4" w:space="0" w:color="auto"/>
              <w:right w:val="single" w:sz="4" w:space="0" w:color="auto"/>
            </w:tcBorders>
            <w:hideMark/>
          </w:tcPr>
          <w:p w:rsidR="003132DA" w:rsidRDefault="003132DA" w:rsidP="003132DA">
            <w:pPr>
              <w:pStyle w:val="TableofFigures"/>
            </w:pPr>
            <w:r>
              <w:t>October 2022</w:t>
            </w:r>
          </w:p>
          <w:p w:rsidR="003132DA" w:rsidRDefault="003132DA" w:rsidP="003132DA">
            <w:pPr>
              <w:pStyle w:val="TableofFigures"/>
            </w:pPr>
            <w:r>
              <w:t>Tim Pittaway</w:t>
            </w:r>
          </w:p>
          <w:p w:rsidR="003132DA" w:rsidRDefault="003132DA" w:rsidP="003132DA">
            <w:pPr>
              <w:pStyle w:val="TableofFigures"/>
            </w:pPr>
            <w:r>
              <w:t>RSM Australia</w:t>
            </w:r>
          </w:p>
          <w:p w:rsidR="00BB6D16" w:rsidRPr="00B531F4" w:rsidRDefault="003132DA" w:rsidP="003132DA">
            <w:pPr>
              <w:pStyle w:val="TableofFigures"/>
            </w:pPr>
            <w:r>
              <w:t>Next technical assessment due: FY2024-25</w:t>
            </w:r>
          </w:p>
        </w:tc>
      </w:tr>
    </w:tbl>
    <w:p w:rsidR="00B152AF" w:rsidRPr="00E5089C" w:rsidRDefault="00B152AF" w:rsidP="00020B35">
      <w:pPr>
        <w:pStyle w:val="TOCHeading"/>
        <w:rPr>
          <w:rFonts w:hint="eastAsia"/>
        </w:rPr>
      </w:pPr>
      <w:r w:rsidRPr="00E5089C">
        <w:t>Contents</w:t>
      </w:r>
      <w:bookmarkEnd w:id="1"/>
    </w:p>
    <w:p w:rsidR="00477806"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58887335" w:history="1">
        <w:r w:rsidR="00477806" w:rsidRPr="00351B9A">
          <w:rPr>
            <w:rStyle w:val="Hyperlink"/>
            <w:noProof/>
          </w:rPr>
          <w:t>1. Certification Summary</w:t>
        </w:r>
        <w:r w:rsidR="00477806">
          <w:rPr>
            <w:noProof/>
            <w:webHidden/>
          </w:rPr>
          <w:tab/>
        </w:r>
        <w:r w:rsidR="00477806">
          <w:rPr>
            <w:noProof/>
            <w:webHidden/>
          </w:rPr>
          <w:fldChar w:fldCharType="begin"/>
        </w:r>
        <w:r w:rsidR="00477806">
          <w:rPr>
            <w:noProof/>
            <w:webHidden/>
          </w:rPr>
          <w:instrText xml:space="preserve"> PAGEREF _Toc158887335 \h </w:instrText>
        </w:r>
        <w:r w:rsidR="00477806">
          <w:rPr>
            <w:noProof/>
            <w:webHidden/>
          </w:rPr>
        </w:r>
        <w:r w:rsidR="00477806">
          <w:rPr>
            <w:noProof/>
            <w:webHidden/>
          </w:rPr>
          <w:fldChar w:fldCharType="separate"/>
        </w:r>
        <w:r w:rsidR="00372B3D">
          <w:rPr>
            <w:noProof/>
            <w:webHidden/>
          </w:rPr>
          <w:t>3</w:t>
        </w:r>
        <w:r w:rsidR="00477806">
          <w:rPr>
            <w:noProof/>
            <w:webHidden/>
          </w:rPr>
          <w:fldChar w:fldCharType="end"/>
        </w:r>
      </w:hyperlink>
    </w:p>
    <w:p w:rsidR="00477806" w:rsidRDefault="005F6F30">
      <w:pPr>
        <w:pStyle w:val="TOC1"/>
        <w:tabs>
          <w:tab w:val="right" w:leader="dot" w:pos="9769"/>
        </w:tabs>
        <w:rPr>
          <w:rFonts w:asciiTheme="minorHAnsi" w:eastAsiaTheme="minorEastAsia" w:hAnsiTheme="minorHAnsi" w:cstheme="minorBidi"/>
          <w:noProof/>
          <w:sz w:val="22"/>
          <w:szCs w:val="22"/>
          <w:lang w:eastAsia="en-AU"/>
        </w:rPr>
      </w:pPr>
      <w:hyperlink w:anchor="_Toc158887336" w:history="1">
        <w:r w:rsidR="00477806" w:rsidRPr="00351B9A">
          <w:rPr>
            <w:rStyle w:val="Hyperlink"/>
            <w:noProof/>
          </w:rPr>
          <w:t>2. Carbon Neutral Information</w:t>
        </w:r>
        <w:r w:rsidR="00477806">
          <w:rPr>
            <w:noProof/>
            <w:webHidden/>
          </w:rPr>
          <w:tab/>
        </w:r>
        <w:r w:rsidR="00477806">
          <w:rPr>
            <w:noProof/>
            <w:webHidden/>
          </w:rPr>
          <w:fldChar w:fldCharType="begin"/>
        </w:r>
        <w:r w:rsidR="00477806">
          <w:rPr>
            <w:noProof/>
            <w:webHidden/>
          </w:rPr>
          <w:instrText xml:space="preserve"> PAGEREF _Toc158887336 \h </w:instrText>
        </w:r>
        <w:r w:rsidR="00477806">
          <w:rPr>
            <w:noProof/>
            <w:webHidden/>
          </w:rPr>
        </w:r>
        <w:r w:rsidR="00477806">
          <w:rPr>
            <w:noProof/>
            <w:webHidden/>
          </w:rPr>
          <w:fldChar w:fldCharType="separate"/>
        </w:r>
        <w:r w:rsidR="00372B3D">
          <w:rPr>
            <w:noProof/>
            <w:webHidden/>
          </w:rPr>
          <w:t>4</w:t>
        </w:r>
        <w:r w:rsidR="00477806">
          <w:rPr>
            <w:noProof/>
            <w:webHidden/>
          </w:rPr>
          <w:fldChar w:fldCharType="end"/>
        </w:r>
      </w:hyperlink>
    </w:p>
    <w:p w:rsidR="00477806" w:rsidRDefault="005F6F30">
      <w:pPr>
        <w:pStyle w:val="TOC1"/>
        <w:tabs>
          <w:tab w:val="right" w:leader="dot" w:pos="9769"/>
        </w:tabs>
        <w:rPr>
          <w:rFonts w:asciiTheme="minorHAnsi" w:eastAsiaTheme="minorEastAsia" w:hAnsiTheme="minorHAnsi" w:cstheme="minorBidi"/>
          <w:noProof/>
          <w:sz w:val="22"/>
          <w:szCs w:val="22"/>
          <w:lang w:eastAsia="en-AU"/>
        </w:rPr>
      </w:pPr>
      <w:hyperlink w:anchor="_Toc158887340" w:history="1">
        <w:r w:rsidR="00477806" w:rsidRPr="00351B9A">
          <w:rPr>
            <w:rStyle w:val="Hyperlink"/>
            <w:noProof/>
          </w:rPr>
          <w:t>3. Emissions Boundary</w:t>
        </w:r>
        <w:r w:rsidR="00477806">
          <w:rPr>
            <w:noProof/>
            <w:webHidden/>
          </w:rPr>
          <w:tab/>
        </w:r>
        <w:r w:rsidR="00477806">
          <w:rPr>
            <w:noProof/>
            <w:webHidden/>
          </w:rPr>
          <w:fldChar w:fldCharType="begin"/>
        </w:r>
        <w:r w:rsidR="00477806">
          <w:rPr>
            <w:noProof/>
            <w:webHidden/>
          </w:rPr>
          <w:instrText xml:space="preserve"> PAGEREF _Toc158887340 \h </w:instrText>
        </w:r>
        <w:r w:rsidR="00477806">
          <w:rPr>
            <w:noProof/>
            <w:webHidden/>
          </w:rPr>
        </w:r>
        <w:r w:rsidR="00477806">
          <w:rPr>
            <w:noProof/>
            <w:webHidden/>
          </w:rPr>
          <w:fldChar w:fldCharType="separate"/>
        </w:r>
        <w:r w:rsidR="00372B3D">
          <w:rPr>
            <w:noProof/>
            <w:webHidden/>
          </w:rPr>
          <w:t>7</w:t>
        </w:r>
        <w:r w:rsidR="00477806">
          <w:rPr>
            <w:noProof/>
            <w:webHidden/>
          </w:rPr>
          <w:fldChar w:fldCharType="end"/>
        </w:r>
      </w:hyperlink>
    </w:p>
    <w:p w:rsidR="00477806" w:rsidRDefault="005F6F30">
      <w:pPr>
        <w:pStyle w:val="TOC1"/>
        <w:tabs>
          <w:tab w:val="right" w:leader="dot" w:pos="9769"/>
        </w:tabs>
        <w:rPr>
          <w:rFonts w:asciiTheme="minorHAnsi" w:eastAsiaTheme="minorEastAsia" w:hAnsiTheme="minorHAnsi" w:cstheme="minorBidi"/>
          <w:noProof/>
          <w:sz w:val="22"/>
          <w:szCs w:val="22"/>
          <w:lang w:eastAsia="en-AU"/>
        </w:rPr>
      </w:pPr>
      <w:hyperlink w:anchor="_Toc158887350" w:history="1">
        <w:r w:rsidR="00477806" w:rsidRPr="00351B9A">
          <w:rPr>
            <w:rStyle w:val="Hyperlink"/>
            <w:noProof/>
          </w:rPr>
          <w:t>4. Emissions Reductions</w:t>
        </w:r>
        <w:r w:rsidR="00477806">
          <w:rPr>
            <w:noProof/>
            <w:webHidden/>
          </w:rPr>
          <w:tab/>
        </w:r>
        <w:r w:rsidR="00477806">
          <w:rPr>
            <w:noProof/>
            <w:webHidden/>
          </w:rPr>
          <w:fldChar w:fldCharType="begin"/>
        </w:r>
        <w:r w:rsidR="00477806">
          <w:rPr>
            <w:noProof/>
            <w:webHidden/>
          </w:rPr>
          <w:instrText xml:space="preserve"> PAGEREF _Toc158887350 \h </w:instrText>
        </w:r>
        <w:r w:rsidR="00477806">
          <w:rPr>
            <w:noProof/>
            <w:webHidden/>
          </w:rPr>
        </w:r>
        <w:r w:rsidR="00477806">
          <w:rPr>
            <w:noProof/>
            <w:webHidden/>
          </w:rPr>
          <w:fldChar w:fldCharType="separate"/>
        </w:r>
        <w:r w:rsidR="00372B3D">
          <w:rPr>
            <w:noProof/>
            <w:webHidden/>
          </w:rPr>
          <w:t>10</w:t>
        </w:r>
        <w:r w:rsidR="00477806">
          <w:rPr>
            <w:noProof/>
            <w:webHidden/>
          </w:rPr>
          <w:fldChar w:fldCharType="end"/>
        </w:r>
      </w:hyperlink>
    </w:p>
    <w:p w:rsidR="00477806" w:rsidRDefault="005F6F30">
      <w:pPr>
        <w:pStyle w:val="TOC1"/>
        <w:tabs>
          <w:tab w:val="right" w:leader="dot" w:pos="9769"/>
        </w:tabs>
        <w:rPr>
          <w:rFonts w:asciiTheme="minorHAnsi" w:eastAsiaTheme="minorEastAsia" w:hAnsiTheme="minorHAnsi" w:cstheme="minorBidi"/>
          <w:noProof/>
          <w:sz w:val="22"/>
          <w:szCs w:val="22"/>
          <w:lang w:eastAsia="en-AU"/>
        </w:rPr>
      </w:pPr>
      <w:hyperlink w:anchor="_Toc158887355" w:history="1">
        <w:r w:rsidR="00477806" w:rsidRPr="00351B9A">
          <w:rPr>
            <w:rStyle w:val="Hyperlink"/>
            <w:noProof/>
          </w:rPr>
          <w:t>5. Emissions Summary</w:t>
        </w:r>
        <w:r w:rsidR="00477806">
          <w:rPr>
            <w:noProof/>
            <w:webHidden/>
          </w:rPr>
          <w:tab/>
        </w:r>
        <w:r w:rsidR="00477806">
          <w:rPr>
            <w:noProof/>
            <w:webHidden/>
          </w:rPr>
          <w:fldChar w:fldCharType="begin"/>
        </w:r>
        <w:r w:rsidR="00477806">
          <w:rPr>
            <w:noProof/>
            <w:webHidden/>
          </w:rPr>
          <w:instrText xml:space="preserve"> PAGEREF _Toc158887355 \h </w:instrText>
        </w:r>
        <w:r w:rsidR="00477806">
          <w:rPr>
            <w:noProof/>
            <w:webHidden/>
          </w:rPr>
        </w:r>
        <w:r w:rsidR="00477806">
          <w:rPr>
            <w:noProof/>
            <w:webHidden/>
          </w:rPr>
          <w:fldChar w:fldCharType="separate"/>
        </w:r>
        <w:r w:rsidR="00372B3D">
          <w:rPr>
            <w:noProof/>
            <w:webHidden/>
          </w:rPr>
          <w:t>12</w:t>
        </w:r>
        <w:r w:rsidR="00477806">
          <w:rPr>
            <w:noProof/>
            <w:webHidden/>
          </w:rPr>
          <w:fldChar w:fldCharType="end"/>
        </w:r>
      </w:hyperlink>
    </w:p>
    <w:p w:rsidR="00477806" w:rsidRDefault="005F6F30">
      <w:pPr>
        <w:pStyle w:val="TOC1"/>
        <w:tabs>
          <w:tab w:val="right" w:leader="dot" w:pos="9769"/>
        </w:tabs>
        <w:rPr>
          <w:rFonts w:asciiTheme="minorHAnsi" w:eastAsiaTheme="minorEastAsia" w:hAnsiTheme="minorHAnsi" w:cstheme="minorBidi"/>
          <w:noProof/>
          <w:sz w:val="22"/>
          <w:szCs w:val="22"/>
          <w:lang w:eastAsia="en-AU"/>
        </w:rPr>
      </w:pPr>
      <w:hyperlink w:anchor="_Toc158887362" w:history="1">
        <w:r w:rsidR="00477806" w:rsidRPr="00351B9A">
          <w:rPr>
            <w:rStyle w:val="Hyperlink"/>
            <w:noProof/>
          </w:rPr>
          <w:t>6. Carbon Offsets</w:t>
        </w:r>
        <w:r w:rsidR="00477806">
          <w:rPr>
            <w:noProof/>
            <w:webHidden/>
          </w:rPr>
          <w:tab/>
        </w:r>
        <w:r w:rsidR="00477806">
          <w:rPr>
            <w:noProof/>
            <w:webHidden/>
          </w:rPr>
          <w:fldChar w:fldCharType="begin"/>
        </w:r>
        <w:r w:rsidR="00477806">
          <w:rPr>
            <w:noProof/>
            <w:webHidden/>
          </w:rPr>
          <w:instrText xml:space="preserve"> PAGEREF _Toc158887362 \h </w:instrText>
        </w:r>
        <w:r w:rsidR="00477806">
          <w:rPr>
            <w:noProof/>
            <w:webHidden/>
          </w:rPr>
        </w:r>
        <w:r w:rsidR="00477806">
          <w:rPr>
            <w:noProof/>
            <w:webHidden/>
          </w:rPr>
          <w:fldChar w:fldCharType="separate"/>
        </w:r>
        <w:r w:rsidR="00372B3D">
          <w:rPr>
            <w:noProof/>
            <w:webHidden/>
          </w:rPr>
          <w:t>14</w:t>
        </w:r>
        <w:r w:rsidR="00477806">
          <w:rPr>
            <w:noProof/>
            <w:webHidden/>
          </w:rPr>
          <w:fldChar w:fldCharType="end"/>
        </w:r>
      </w:hyperlink>
    </w:p>
    <w:p w:rsidR="00477806" w:rsidRDefault="005F6F30">
      <w:pPr>
        <w:pStyle w:val="TOC1"/>
        <w:tabs>
          <w:tab w:val="right" w:leader="dot" w:pos="9769"/>
        </w:tabs>
        <w:rPr>
          <w:rFonts w:asciiTheme="minorHAnsi" w:eastAsiaTheme="minorEastAsia" w:hAnsiTheme="minorHAnsi" w:cstheme="minorBidi"/>
          <w:noProof/>
          <w:sz w:val="22"/>
          <w:szCs w:val="22"/>
          <w:lang w:eastAsia="en-AU"/>
        </w:rPr>
      </w:pPr>
      <w:hyperlink w:anchor="_Toc158887368" w:history="1">
        <w:r w:rsidR="00477806" w:rsidRPr="00351B9A">
          <w:rPr>
            <w:rStyle w:val="Hyperlink"/>
            <w:noProof/>
          </w:rPr>
          <w:t>7. Renewable Energy Certificate (REC) Summary</w:t>
        </w:r>
        <w:r w:rsidR="00477806">
          <w:rPr>
            <w:noProof/>
            <w:webHidden/>
          </w:rPr>
          <w:tab/>
        </w:r>
        <w:r w:rsidR="00477806">
          <w:rPr>
            <w:noProof/>
            <w:webHidden/>
          </w:rPr>
          <w:fldChar w:fldCharType="begin"/>
        </w:r>
        <w:r w:rsidR="00477806">
          <w:rPr>
            <w:noProof/>
            <w:webHidden/>
          </w:rPr>
          <w:instrText xml:space="preserve"> PAGEREF _Toc158887368 \h </w:instrText>
        </w:r>
        <w:r w:rsidR="00477806">
          <w:rPr>
            <w:noProof/>
            <w:webHidden/>
          </w:rPr>
        </w:r>
        <w:r w:rsidR="00477806">
          <w:rPr>
            <w:noProof/>
            <w:webHidden/>
          </w:rPr>
          <w:fldChar w:fldCharType="separate"/>
        </w:r>
        <w:r w:rsidR="00372B3D">
          <w:rPr>
            <w:noProof/>
            <w:webHidden/>
          </w:rPr>
          <w:t>19</w:t>
        </w:r>
        <w:r w:rsidR="00477806">
          <w:rPr>
            <w:noProof/>
            <w:webHidden/>
          </w:rPr>
          <w:fldChar w:fldCharType="end"/>
        </w:r>
      </w:hyperlink>
    </w:p>
    <w:p w:rsidR="00477806" w:rsidRDefault="005F6F30">
      <w:pPr>
        <w:pStyle w:val="TOC1"/>
        <w:tabs>
          <w:tab w:val="right" w:leader="dot" w:pos="9769"/>
        </w:tabs>
        <w:rPr>
          <w:rFonts w:asciiTheme="minorHAnsi" w:eastAsiaTheme="minorEastAsia" w:hAnsiTheme="minorHAnsi" w:cstheme="minorBidi"/>
          <w:noProof/>
          <w:sz w:val="22"/>
          <w:szCs w:val="22"/>
          <w:lang w:eastAsia="en-AU"/>
        </w:rPr>
      </w:pPr>
      <w:hyperlink w:anchor="_Toc158887369" w:history="1">
        <w:r w:rsidR="00477806" w:rsidRPr="00351B9A">
          <w:rPr>
            <w:rStyle w:val="Hyperlink"/>
            <w:noProof/>
          </w:rPr>
          <w:t>Appendix A: Additional Information</w:t>
        </w:r>
        <w:r w:rsidR="00477806">
          <w:rPr>
            <w:noProof/>
            <w:webHidden/>
          </w:rPr>
          <w:tab/>
        </w:r>
        <w:r w:rsidR="00477806">
          <w:rPr>
            <w:noProof/>
            <w:webHidden/>
          </w:rPr>
          <w:fldChar w:fldCharType="begin"/>
        </w:r>
        <w:r w:rsidR="00477806">
          <w:rPr>
            <w:noProof/>
            <w:webHidden/>
          </w:rPr>
          <w:instrText xml:space="preserve"> PAGEREF _Toc158887369 \h </w:instrText>
        </w:r>
        <w:r w:rsidR="00477806">
          <w:rPr>
            <w:noProof/>
            <w:webHidden/>
          </w:rPr>
        </w:r>
        <w:r w:rsidR="00477806">
          <w:rPr>
            <w:noProof/>
            <w:webHidden/>
          </w:rPr>
          <w:fldChar w:fldCharType="separate"/>
        </w:r>
        <w:r w:rsidR="00372B3D">
          <w:rPr>
            <w:noProof/>
            <w:webHidden/>
          </w:rPr>
          <w:t>21</w:t>
        </w:r>
        <w:r w:rsidR="00477806">
          <w:rPr>
            <w:noProof/>
            <w:webHidden/>
          </w:rPr>
          <w:fldChar w:fldCharType="end"/>
        </w:r>
      </w:hyperlink>
    </w:p>
    <w:p w:rsidR="00477806" w:rsidRDefault="005F6F30">
      <w:pPr>
        <w:pStyle w:val="TOC1"/>
        <w:tabs>
          <w:tab w:val="right" w:leader="dot" w:pos="9769"/>
        </w:tabs>
        <w:rPr>
          <w:rFonts w:asciiTheme="minorHAnsi" w:eastAsiaTheme="minorEastAsia" w:hAnsiTheme="minorHAnsi" w:cstheme="minorBidi"/>
          <w:noProof/>
          <w:sz w:val="22"/>
          <w:szCs w:val="22"/>
          <w:lang w:eastAsia="en-AU"/>
        </w:rPr>
      </w:pPr>
      <w:hyperlink w:anchor="_Toc158887379" w:history="1">
        <w:r w:rsidR="00477806" w:rsidRPr="00351B9A">
          <w:rPr>
            <w:rStyle w:val="Hyperlink"/>
            <w:noProof/>
          </w:rPr>
          <w:t>Appendix B: Electricity Summary</w:t>
        </w:r>
        <w:r w:rsidR="00477806">
          <w:rPr>
            <w:noProof/>
            <w:webHidden/>
          </w:rPr>
          <w:tab/>
        </w:r>
        <w:r w:rsidR="00477806">
          <w:rPr>
            <w:noProof/>
            <w:webHidden/>
          </w:rPr>
          <w:fldChar w:fldCharType="begin"/>
        </w:r>
        <w:r w:rsidR="00477806">
          <w:rPr>
            <w:noProof/>
            <w:webHidden/>
          </w:rPr>
          <w:instrText xml:space="preserve"> PAGEREF _Toc158887379 \h </w:instrText>
        </w:r>
        <w:r w:rsidR="00477806">
          <w:rPr>
            <w:noProof/>
            <w:webHidden/>
          </w:rPr>
        </w:r>
        <w:r w:rsidR="00477806">
          <w:rPr>
            <w:noProof/>
            <w:webHidden/>
          </w:rPr>
          <w:fldChar w:fldCharType="separate"/>
        </w:r>
        <w:r w:rsidR="00372B3D">
          <w:rPr>
            <w:noProof/>
            <w:webHidden/>
          </w:rPr>
          <w:t>26</w:t>
        </w:r>
        <w:r w:rsidR="00477806">
          <w:rPr>
            <w:noProof/>
            <w:webHidden/>
          </w:rPr>
          <w:fldChar w:fldCharType="end"/>
        </w:r>
      </w:hyperlink>
    </w:p>
    <w:p w:rsidR="00477806" w:rsidRDefault="005F6F30">
      <w:pPr>
        <w:pStyle w:val="TOC1"/>
        <w:tabs>
          <w:tab w:val="right" w:leader="dot" w:pos="9769"/>
        </w:tabs>
        <w:rPr>
          <w:rFonts w:asciiTheme="minorHAnsi" w:eastAsiaTheme="minorEastAsia" w:hAnsiTheme="minorHAnsi" w:cstheme="minorBidi"/>
          <w:noProof/>
          <w:sz w:val="22"/>
          <w:szCs w:val="22"/>
          <w:lang w:eastAsia="en-AU"/>
        </w:rPr>
      </w:pPr>
      <w:hyperlink w:anchor="_Toc158887382" w:history="1">
        <w:r w:rsidR="00477806" w:rsidRPr="00351B9A">
          <w:rPr>
            <w:rStyle w:val="Hyperlink"/>
            <w:noProof/>
          </w:rPr>
          <w:t>Appendix C: Inside Emissions Boundary</w:t>
        </w:r>
        <w:r w:rsidR="00477806">
          <w:rPr>
            <w:noProof/>
            <w:webHidden/>
          </w:rPr>
          <w:tab/>
        </w:r>
        <w:r w:rsidR="00477806">
          <w:rPr>
            <w:noProof/>
            <w:webHidden/>
          </w:rPr>
          <w:fldChar w:fldCharType="begin"/>
        </w:r>
        <w:r w:rsidR="00477806">
          <w:rPr>
            <w:noProof/>
            <w:webHidden/>
          </w:rPr>
          <w:instrText xml:space="preserve"> PAGEREF _Toc158887382 \h </w:instrText>
        </w:r>
        <w:r w:rsidR="00477806">
          <w:rPr>
            <w:noProof/>
            <w:webHidden/>
          </w:rPr>
        </w:r>
        <w:r w:rsidR="00477806">
          <w:rPr>
            <w:noProof/>
            <w:webHidden/>
          </w:rPr>
          <w:fldChar w:fldCharType="separate"/>
        </w:r>
        <w:r w:rsidR="00372B3D">
          <w:rPr>
            <w:noProof/>
            <w:webHidden/>
          </w:rPr>
          <w:t>29</w:t>
        </w:r>
        <w:r w:rsidR="00477806">
          <w:rPr>
            <w:noProof/>
            <w:webHidden/>
          </w:rPr>
          <w:fldChar w:fldCharType="end"/>
        </w:r>
      </w:hyperlink>
    </w:p>
    <w:p w:rsidR="00477806" w:rsidRDefault="005F6F30">
      <w:pPr>
        <w:pStyle w:val="TOC1"/>
        <w:tabs>
          <w:tab w:val="right" w:leader="dot" w:pos="9769"/>
        </w:tabs>
        <w:rPr>
          <w:rFonts w:asciiTheme="minorHAnsi" w:eastAsiaTheme="minorEastAsia" w:hAnsiTheme="minorHAnsi" w:cstheme="minorBidi"/>
          <w:noProof/>
          <w:sz w:val="22"/>
          <w:szCs w:val="22"/>
          <w:lang w:eastAsia="en-AU"/>
        </w:rPr>
      </w:pPr>
      <w:hyperlink w:anchor="_Toc158887385" w:history="1">
        <w:r w:rsidR="00477806" w:rsidRPr="00351B9A">
          <w:rPr>
            <w:rStyle w:val="Hyperlink"/>
            <w:noProof/>
          </w:rPr>
          <w:t>Appendix D: Outside Emissions Boundary</w:t>
        </w:r>
        <w:r w:rsidR="00477806">
          <w:rPr>
            <w:noProof/>
            <w:webHidden/>
          </w:rPr>
          <w:tab/>
        </w:r>
        <w:r w:rsidR="00477806">
          <w:rPr>
            <w:noProof/>
            <w:webHidden/>
          </w:rPr>
          <w:fldChar w:fldCharType="begin"/>
        </w:r>
        <w:r w:rsidR="00477806">
          <w:rPr>
            <w:noProof/>
            <w:webHidden/>
          </w:rPr>
          <w:instrText xml:space="preserve"> PAGEREF _Toc158887385 \h </w:instrText>
        </w:r>
        <w:r w:rsidR="00477806">
          <w:rPr>
            <w:noProof/>
            <w:webHidden/>
          </w:rPr>
        </w:r>
        <w:r w:rsidR="00477806">
          <w:rPr>
            <w:noProof/>
            <w:webHidden/>
          </w:rPr>
          <w:fldChar w:fldCharType="separate"/>
        </w:r>
        <w:r w:rsidR="00372B3D">
          <w:rPr>
            <w:noProof/>
            <w:webHidden/>
          </w:rPr>
          <w:t>31</w:t>
        </w:r>
        <w:r w:rsidR="00477806">
          <w:rPr>
            <w:noProof/>
            <w:webHidden/>
          </w:rPr>
          <w:fldChar w:fldCharType="end"/>
        </w:r>
      </w:hyperlink>
    </w:p>
    <w:p w:rsidR="005245FE" w:rsidRDefault="00B152AF" w:rsidP="00802A52">
      <w:pPr>
        <w:pStyle w:val="Heading1"/>
        <w:rPr>
          <w:rFonts w:hint="eastAsia"/>
        </w:rPr>
      </w:pPr>
      <w:r>
        <w:rPr>
          <w:noProof/>
        </w:rPr>
        <w:fldChar w:fldCharType="end"/>
      </w:r>
      <w:r>
        <w:rPr>
          <w:rFonts w:hint="eastAsia"/>
        </w:rPr>
        <w:br w:type="page"/>
      </w:r>
      <w:bookmarkStart w:id="10" w:name="_Toc158887336"/>
      <w:bookmarkStart w:id="11" w:name="_Toc419982304"/>
      <w:bookmarkStart w:id="12" w:name="_Toc419982305"/>
      <w:r w:rsidR="005245FE">
        <w:lastRenderedPageBreak/>
        <w:t>2. Carbon Neutral Information</w:t>
      </w:r>
      <w:bookmarkEnd w:id="10"/>
    </w:p>
    <w:p w:rsidR="005245FE" w:rsidRPr="005245FE" w:rsidRDefault="005245FE" w:rsidP="005245FE">
      <w:pPr>
        <w:pStyle w:val="Heading2"/>
        <w:rPr>
          <w:rFonts w:hint="eastAsia"/>
        </w:rPr>
      </w:pPr>
      <w:bookmarkStart w:id="13" w:name="_Toc158887337"/>
      <w:r w:rsidRPr="005245FE">
        <w:t>Description of certification</w:t>
      </w:r>
      <w:bookmarkEnd w:id="13"/>
    </w:p>
    <w:p w:rsidR="005245FE" w:rsidRPr="005245FE" w:rsidRDefault="005245FE" w:rsidP="005245FE">
      <w:pPr>
        <w:rPr>
          <w:lang w:val="en-US"/>
        </w:rPr>
      </w:pPr>
      <w:r w:rsidRPr="005245FE">
        <w:rPr>
          <w:lang w:val="en-US"/>
        </w:rPr>
        <w:t>The City of Melbourne is certified carbon neutral for council operations. This certification covers all City of</w:t>
      </w:r>
    </w:p>
    <w:p w:rsidR="005245FE" w:rsidRPr="005245FE" w:rsidRDefault="005245FE" w:rsidP="005245FE">
      <w:pPr>
        <w:rPr>
          <w:lang w:val="en-US"/>
        </w:rPr>
      </w:pPr>
      <w:r w:rsidRPr="005245FE">
        <w:rPr>
          <w:lang w:val="en-US"/>
        </w:rPr>
        <w:t>Melbourne facilities, as well as major contracts and services.</w:t>
      </w:r>
    </w:p>
    <w:p w:rsidR="005245FE" w:rsidRPr="005245FE" w:rsidRDefault="005245FE" w:rsidP="005245FE">
      <w:pPr>
        <w:pStyle w:val="Heading2"/>
        <w:rPr>
          <w:rFonts w:hint="eastAsia"/>
        </w:rPr>
      </w:pPr>
      <w:bookmarkStart w:id="14" w:name="_Toc158887338"/>
      <w:r w:rsidRPr="005245FE">
        <w:t>Organisation description</w:t>
      </w:r>
      <w:bookmarkEnd w:id="14"/>
    </w:p>
    <w:p w:rsidR="005245FE" w:rsidRDefault="005245FE" w:rsidP="005245FE">
      <w:pPr>
        <w:rPr>
          <w:lang w:val="en-US"/>
        </w:rPr>
      </w:pPr>
      <w:r w:rsidRPr="005245FE">
        <w:rPr>
          <w:lang w:val="en-US"/>
        </w:rPr>
        <w:t>The City of Melbourne (ABN 55 370 219 287), legally known as the Melbo</w:t>
      </w:r>
      <w:r>
        <w:rPr>
          <w:lang w:val="en-US"/>
        </w:rPr>
        <w:t xml:space="preserve">urne City Council, is one of 79 </w:t>
      </w:r>
      <w:r w:rsidRPr="005245FE">
        <w:rPr>
          <w:lang w:val="en-US"/>
        </w:rPr>
        <w:t>councils in Victoria operating as a public statutory body incorpo</w:t>
      </w:r>
      <w:r>
        <w:rPr>
          <w:lang w:val="en-US"/>
        </w:rPr>
        <w:t>rated under the Victorian Local Government Act 2020.</w:t>
      </w:r>
    </w:p>
    <w:p w:rsidR="005245FE" w:rsidRDefault="005245FE" w:rsidP="005245FE">
      <w:pPr>
        <w:rPr>
          <w:lang w:val="en-US"/>
        </w:rPr>
      </w:pPr>
      <w:r w:rsidRPr="005245FE">
        <w:rPr>
          <w:lang w:val="en-US"/>
        </w:rPr>
        <w:t xml:space="preserve">The City of Melbourne sits at the heart of Greater Melbourne, the state capital of Victoria </w:t>
      </w:r>
      <w:r>
        <w:rPr>
          <w:lang w:val="en-US"/>
        </w:rPr>
        <w:t xml:space="preserve">and is Australia’s </w:t>
      </w:r>
      <w:r w:rsidRPr="005245FE">
        <w:rPr>
          <w:lang w:val="en-US"/>
        </w:rPr>
        <w:t>second largest city. The municipality covers 37.7 square kilometers, spa</w:t>
      </w:r>
      <w:r>
        <w:rPr>
          <w:lang w:val="en-US"/>
        </w:rPr>
        <w:t xml:space="preserve">nning the Melbourne city center </w:t>
      </w:r>
      <w:r w:rsidRPr="005245FE">
        <w:rPr>
          <w:lang w:val="en-US"/>
        </w:rPr>
        <w:t>and surrounding areas (see Figure 1), and has a res</w:t>
      </w:r>
      <w:r>
        <w:rPr>
          <w:lang w:val="en-US"/>
        </w:rPr>
        <w:t>idential population of 184,000.</w:t>
      </w:r>
    </w:p>
    <w:p w:rsidR="005245FE" w:rsidRDefault="005245FE" w:rsidP="005245FE">
      <w:pPr>
        <w:rPr>
          <w:lang w:val="en-US"/>
        </w:rPr>
      </w:pPr>
      <w:r w:rsidRPr="005245FE">
        <w:rPr>
          <w:lang w:val="en-US"/>
        </w:rPr>
        <w:t>As a local government authority, the City of Melbourne strives to achieve it</w:t>
      </w:r>
      <w:r>
        <w:rPr>
          <w:lang w:val="en-US"/>
        </w:rPr>
        <w:t xml:space="preserve">s community’s vision of a bold, </w:t>
      </w:r>
      <w:r w:rsidRPr="005245FE">
        <w:rPr>
          <w:lang w:val="en-US"/>
        </w:rPr>
        <w:t xml:space="preserve">inspirational and sustainable city. To lead the city towards this vision, the </w:t>
      </w:r>
      <w:r>
        <w:rPr>
          <w:lang w:val="en-US"/>
        </w:rPr>
        <w:t xml:space="preserve">City of Melbourne is focused on </w:t>
      </w:r>
      <w:r w:rsidRPr="005245FE">
        <w:rPr>
          <w:lang w:val="en-US"/>
        </w:rPr>
        <w:t>reducing its own environmental impact. In 2019, the City of Melbourne declared a climate</w:t>
      </w:r>
      <w:r>
        <w:rPr>
          <w:lang w:val="en-US"/>
        </w:rPr>
        <w:t xml:space="preserve"> and biodiversity </w:t>
      </w:r>
      <w:r w:rsidRPr="005245FE">
        <w:rPr>
          <w:lang w:val="en-US"/>
        </w:rPr>
        <w:t>emergency and amended its target to zero emissions for the municipal</w:t>
      </w:r>
      <w:r>
        <w:rPr>
          <w:lang w:val="en-US"/>
        </w:rPr>
        <w:t xml:space="preserve">ity to 2040, ten years ahead of </w:t>
      </w:r>
      <w:r w:rsidRPr="005245FE">
        <w:rPr>
          <w:lang w:val="en-US"/>
        </w:rPr>
        <w:t xml:space="preserve">schedule. Actions to achieve this are set out in the City of Melbourne’s </w:t>
      </w:r>
      <w:hyperlink r:id="rId8" w:history="1">
        <w:r w:rsidRPr="005245FE">
          <w:rPr>
            <w:rStyle w:val="Hyperlink"/>
            <w:lang w:val="en-US"/>
          </w:rPr>
          <w:t>Emissions Reduction Plan for our Operations 2021-2026</w:t>
        </w:r>
      </w:hyperlink>
      <w:r>
        <w:rPr>
          <w:rStyle w:val="FootnoteReference"/>
          <w:lang w:val="en-US"/>
        </w:rPr>
        <w:footnoteReference w:id="1"/>
      </w:r>
      <w:r w:rsidRPr="005245FE">
        <w:rPr>
          <w:lang w:val="en-US"/>
        </w:rPr>
        <w:t>. The Plan also outlines a commitment to mai</w:t>
      </w:r>
      <w:r>
        <w:rPr>
          <w:lang w:val="en-US"/>
        </w:rPr>
        <w:t>ntain carbon neutrality for our operations.</w:t>
      </w:r>
    </w:p>
    <w:p w:rsidR="005245FE" w:rsidRDefault="005245FE" w:rsidP="005245FE">
      <w:pPr>
        <w:rPr>
          <w:lang w:val="en-US"/>
        </w:rPr>
      </w:pPr>
      <w:r w:rsidRPr="005245FE">
        <w:rPr>
          <w:lang w:val="en-US"/>
        </w:rPr>
        <w:t>The following subsidiaries / child companies are also included within this certification.</w:t>
      </w:r>
    </w:p>
    <w:tbl>
      <w:tblPr>
        <w:tblStyle w:val="TableGrid"/>
        <w:tblW w:w="0" w:type="auto"/>
        <w:tblLook w:val="04A0" w:firstRow="1" w:lastRow="0" w:firstColumn="1" w:lastColumn="0" w:noHBand="0" w:noVBand="1"/>
      </w:tblPr>
      <w:tblGrid>
        <w:gridCol w:w="4531"/>
        <w:gridCol w:w="1981"/>
        <w:gridCol w:w="3257"/>
      </w:tblGrid>
      <w:tr w:rsidR="005245FE" w:rsidRPr="00B531F4" w:rsidTr="004E4A3F">
        <w:tc>
          <w:tcPr>
            <w:tcW w:w="4531" w:type="dxa"/>
          </w:tcPr>
          <w:p w:rsidR="005245FE" w:rsidRPr="00B531F4" w:rsidRDefault="005245FE" w:rsidP="004E4A3F">
            <w:pPr>
              <w:pStyle w:val="TableofFigures"/>
              <w:rPr>
                <w:b/>
              </w:rPr>
            </w:pPr>
            <w:r w:rsidRPr="00B531F4">
              <w:rPr>
                <w:b/>
              </w:rPr>
              <w:t>Legal entity name</w:t>
            </w:r>
          </w:p>
        </w:tc>
        <w:tc>
          <w:tcPr>
            <w:tcW w:w="1981" w:type="dxa"/>
          </w:tcPr>
          <w:p w:rsidR="005245FE" w:rsidRPr="00B531F4" w:rsidRDefault="005245FE" w:rsidP="004E4A3F">
            <w:pPr>
              <w:pStyle w:val="TableofFigures"/>
              <w:rPr>
                <w:b/>
              </w:rPr>
            </w:pPr>
            <w:r w:rsidRPr="00B531F4">
              <w:rPr>
                <w:b/>
              </w:rPr>
              <w:t>ABN</w:t>
            </w:r>
          </w:p>
        </w:tc>
        <w:tc>
          <w:tcPr>
            <w:tcW w:w="3257" w:type="dxa"/>
          </w:tcPr>
          <w:p w:rsidR="005245FE" w:rsidRPr="00B531F4" w:rsidRDefault="005245FE" w:rsidP="004E4A3F">
            <w:pPr>
              <w:pStyle w:val="TableofFigures"/>
              <w:rPr>
                <w:b/>
              </w:rPr>
            </w:pPr>
            <w:r w:rsidRPr="00B531F4">
              <w:rPr>
                <w:b/>
              </w:rPr>
              <w:t>ACN</w:t>
            </w:r>
          </w:p>
        </w:tc>
      </w:tr>
      <w:tr w:rsidR="005245FE" w:rsidRPr="009572A8" w:rsidTr="004E4A3F">
        <w:tc>
          <w:tcPr>
            <w:tcW w:w="4531" w:type="dxa"/>
          </w:tcPr>
          <w:p w:rsidR="005245FE" w:rsidRPr="009572A8" w:rsidRDefault="005245FE" w:rsidP="004E4A3F">
            <w:pPr>
              <w:pStyle w:val="TableofFigures"/>
            </w:pPr>
            <w:r w:rsidRPr="009572A8">
              <w:t>Citywide Service Solutions Pty Ltd</w:t>
            </w:r>
          </w:p>
        </w:tc>
        <w:tc>
          <w:tcPr>
            <w:tcW w:w="1981" w:type="dxa"/>
          </w:tcPr>
          <w:p w:rsidR="005245FE" w:rsidRPr="009572A8" w:rsidRDefault="005245FE" w:rsidP="004E4A3F">
            <w:pPr>
              <w:pStyle w:val="TableofFigures"/>
            </w:pPr>
            <w:r w:rsidRPr="00B531F4">
              <w:t>94 066 960 085</w:t>
            </w:r>
          </w:p>
        </w:tc>
        <w:tc>
          <w:tcPr>
            <w:tcW w:w="3257" w:type="dxa"/>
          </w:tcPr>
          <w:p w:rsidR="005245FE" w:rsidRPr="009572A8" w:rsidRDefault="005245FE" w:rsidP="004E4A3F">
            <w:pPr>
              <w:pStyle w:val="TableofFigures"/>
            </w:pPr>
            <w:r w:rsidRPr="009572A8">
              <w:t>066 960 085</w:t>
            </w:r>
          </w:p>
        </w:tc>
      </w:tr>
      <w:tr w:rsidR="005245FE" w:rsidRPr="009572A8" w:rsidTr="004E4A3F">
        <w:tc>
          <w:tcPr>
            <w:tcW w:w="4531" w:type="dxa"/>
          </w:tcPr>
          <w:p w:rsidR="005245FE" w:rsidRPr="009572A8" w:rsidRDefault="005245FE" w:rsidP="004E4A3F">
            <w:pPr>
              <w:pStyle w:val="TableofFigures"/>
            </w:pPr>
            <w:r w:rsidRPr="009572A8">
              <w:t>Queen Victoria Market Pty Ltd</w:t>
            </w:r>
          </w:p>
        </w:tc>
        <w:tc>
          <w:tcPr>
            <w:tcW w:w="1981" w:type="dxa"/>
          </w:tcPr>
          <w:p w:rsidR="005245FE" w:rsidRPr="009572A8" w:rsidRDefault="005245FE" w:rsidP="004E4A3F">
            <w:pPr>
              <w:pStyle w:val="TableofFigures"/>
            </w:pPr>
            <w:r w:rsidRPr="00B531F4">
              <w:t>44 069 959 771</w:t>
            </w:r>
          </w:p>
        </w:tc>
        <w:tc>
          <w:tcPr>
            <w:tcW w:w="3257" w:type="dxa"/>
          </w:tcPr>
          <w:p w:rsidR="005245FE" w:rsidRPr="009572A8" w:rsidRDefault="005245FE" w:rsidP="004E4A3F">
            <w:pPr>
              <w:pStyle w:val="TableofFigures"/>
            </w:pPr>
            <w:r w:rsidRPr="00B531F4">
              <w:t>069 959 771</w:t>
            </w:r>
          </w:p>
        </w:tc>
      </w:tr>
    </w:tbl>
    <w:p w:rsidR="00A76E0E" w:rsidRDefault="00A76E0E">
      <w:pPr>
        <w:spacing w:after="0" w:line="240" w:lineRule="auto"/>
        <w:rPr>
          <w:lang w:val="en-US"/>
        </w:rPr>
      </w:pPr>
      <w:r>
        <w:rPr>
          <w:lang w:val="en-US"/>
        </w:rPr>
        <w:br w:type="page"/>
      </w:r>
    </w:p>
    <w:p w:rsidR="005245FE" w:rsidRDefault="00A76E0E" w:rsidP="00A76E0E">
      <w:pPr>
        <w:spacing w:after="0"/>
        <w:rPr>
          <w:lang w:val="en-US"/>
        </w:rPr>
      </w:pPr>
      <w:r>
        <w:rPr>
          <w:noProof/>
          <w:lang w:eastAsia="en-AU"/>
        </w:rPr>
        <w:lastRenderedPageBreak/>
        <w:drawing>
          <wp:inline distT="0" distB="0" distL="0" distR="0" wp14:anchorId="5B75C489" wp14:editId="5001B47A">
            <wp:extent cx="6209665" cy="4704869"/>
            <wp:effectExtent l="0" t="0" r="635" b="635"/>
            <wp:docPr id="5" name="Picture 5" descr="Map showing City of Melbourne municipal area boundary, suburbs and post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bourne.vic.gov.au\UserData$\home\jaclev\Desktop\boundary-ma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9665" cy="4704869"/>
                    </a:xfrm>
                    <a:prstGeom prst="rect">
                      <a:avLst/>
                    </a:prstGeom>
                    <a:noFill/>
                    <a:ln>
                      <a:noFill/>
                    </a:ln>
                  </pic:spPr>
                </pic:pic>
              </a:graphicData>
            </a:graphic>
          </wp:inline>
        </w:drawing>
      </w:r>
    </w:p>
    <w:p w:rsidR="00A76E0E" w:rsidRDefault="00A76E0E" w:rsidP="00A76E0E">
      <w:pPr>
        <w:rPr>
          <w:b/>
        </w:rPr>
      </w:pPr>
      <w:r w:rsidRPr="00A76E0E">
        <w:rPr>
          <w:b/>
        </w:rPr>
        <w:t>Figure 1: City of Melbourne boundary map</w:t>
      </w:r>
    </w:p>
    <w:p w:rsidR="00A76E0E" w:rsidRPr="00A76E0E" w:rsidRDefault="00A76E0E" w:rsidP="00A76E0E">
      <w:pPr>
        <w:pStyle w:val="Heading2"/>
        <w:rPr>
          <w:rFonts w:hint="eastAsia"/>
        </w:rPr>
      </w:pPr>
      <w:bookmarkStart w:id="15" w:name="_Toc158887339"/>
      <w:r w:rsidRPr="00A76E0E">
        <w:t>Services and Facilities</w:t>
      </w:r>
      <w:bookmarkEnd w:id="15"/>
    </w:p>
    <w:p w:rsidR="00A76E0E" w:rsidRDefault="00A76E0E" w:rsidP="00A76E0E">
      <w:pPr>
        <w:rPr>
          <w:lang w:val="en-US"/>
        </w:rPr>
      </w:pPr>
      <w:r w:rsidRPr="00A76E0E">
        <w:rPr>
          <w:lang w:val="en-US"/>
        </w:rPr>
        <w:t>The City of Melbourne is responsible for maintaining an extensive range</w:t>
      </w:r>
      <w:r>
        <w:rPr>
          <w:lang w:val="en-US"/>
        </w:rPr>
        <w:t xml:space="preserve"> of facilities and delivering a </w:t>
      </w:r>
      <w:r w:rsidRPr="00A76E0E">
        <w:rPr>
          <w:lang w:val="en-US"/>
        </w:rPr>
        <w:t>diverse range of services. The community infrastructure maintained by the City of Melbourne includes</w:t>
      </w:r>
      <w:r>
        <w:rPr>
          <w:lang w:val="en-US"/>
        </w:rPr>
        <w:t xml:space="preserve"> </w:t>
      </w:r>
      <w:r w:rsidRPr="00A76E0E">
        <w:rPr>
          <w:lang w:val="en-US"/>
        </w:rPr>
        <w:t>roads, bridges, drains, town halls, libraries, recreation facilities, child care centres, community hubs, event</w:t>
      </w:r>
      <w:r>
        <w:rPr>
          <w:lang w:val="en-US"/>
        </w:rPr>
        <w:t xml:space="preserve"> </w:t>
      </w:r>
      <w:r w:rsidRPr="00A76E0E">
        <w:rPr>
          <w:lang w:val="en-US"/>
        </w:rPr>
        <w:t>venues, parks and gardens.</w:t>
      </w:r>
    </w:p>
    <w:p w:rsidR="00A76E0E" w:rsidRDefault="00A76E0E" w:rsidP="00A76E0E">
      <w:pPr>
        <w:rPr>
          <w:lang w:val="en-US"/>
        </w:rPr>
      </w:pPr>
      <w:r w:rsidRPr="00A76E0E">
        <w:rPr>
          <w:lang w:val="en-US"/>
        </w:rPr>
        <w:t xml:space="preserve">The majority of the City of Melbourne’s operations are run out of three main </w:t>
      </w:r>
      <w:r>
        <w:rPr>
          <w:lang w:val="en-US"/>
        </w:rPr>
        <w:t xml:space="preserve">administrative buildings in the </w:t>
      </w:r>
      <w:r w:rsidRPr="00A76E0E">
        <w:rPr>
          <w:lang w:val="en-US"/>
        </w:rPr>
        <w:t>central business district, including the Melbourne Town Hall, Counc</w:t>
      </w:r>
      <w:r>
        <w:rPr>
          <w:lang w:val="en-US"/>
        </w:rPr>
        <w:t>il House 1 and Council House 2.</w:t>
      </w:r>
    </w:p>
    <w:p w:rsidR="00A76E0E" w:rsidRDefault="00A76E0E" w:rsidP="00A76E0E">
      <w:pPr>
        <w:rPr>
          <w:lang w:val="en-US"/>
        </w:rPr>
      </w:pPr>
      <w:r w:rsidRPr="00A76E0E">
        <w:rPr>
          <w:lang w:val="en-US"/>
        </w:rPr>
        <w:t>Additional operations are run out of a number of external sites and fa</w:t>
      </w:r>
      <w:r>
        <w:rPr>
          <w:lang w:val="en-US"/>
        </w:rPr>
        <w:t xml:space="preserve">cilities located throughout the </w:t>
      </w:r>
      <w:r w:rsidRPr="00A76E0E">
        <w:rPr>
          <w:lang w:val="en-US"/>
        </w:rPr>
        <w:t>municipality. The City of Melbourne owns and/or operates more than 35</w:t>
      </w:r>
      <w:r>
        <w:rPr>
          <w:lang w:val="en-US"/>
        </w:rPr>
        <w:t xml:space="preserve">0 buildings, parks, gardens and </w:t>
      </w:r>
      <w:r w:rsidRPr="00A76E0E">
        <w:rPr>
          <w:lang w:val="en-US"/>
        </w:rPr>
        <w:t>other facilities.</w:t>
      </w:r>
    </w:p>
    <w:p w:rsidR="00A76E0E" w:rsidRDefault="00A76E0E" w:rsidP="00A76E0E">
      <w:pPr>
        <w:rPr>
          <w:lang w:val="en-US"/>
        </w:rPr>
      </w:pPr>
      <w:r w:rsidRPr="00A76E0E">
        <w:rPr>
          <w:lang w:val="en-US"/>
        </w:rPr>
        <w:t>The services provided by the City of Melbourne include property, ec</w:t>
      </w:r>
      <w:r>
        <w:rPr>
          <w:lang w:val="en-US"/>
        </w:rPr>
        <w:t xml:space="preserve">onomic, human, recreational and </w:t>
      </w:r>
      <w:r w:rsidRPr="00A76E0E">
        <w:rPr>
          <w:lang w:val="en-US"/>
        </w:rPr>
        <w:t>cultural services. The City of Melbourne also enforces state and local laws relating to matters of land use,</w:t>
      </w:r>
      <w:r>
        <w:rPr>
          <w:lang w:val="en-US"/>
        </w:rPr>
        <w:t xml:space="preserve"> </w:t>
      </w:r>
      <w:r w:rsidRPr="00A76E0E">
        <w:rPr>
          <w:lang w:val="en-US"/>
        </w:rPr>
        <w:t>planning, environment protection, public health, traffic and parking, and animal management.</w:t>
      </w:r>
    </w:p>
    <w:p w:rsidR="00A76E0E" w:rsidRPr="00A76E0E" w:rsidRDefault="00A76E0E" w:rsidP="00A76E0E">
      <w:pPr>
        <w:rPr>
          <w:lang w:val="en-US"/>
        </w:rPr>
      </w:pPr>
      <w:r w:rsidRPr="00A76E0E">
        <w:rPr>
          <w:lang w:val="en-US"/>
        </w:rPr>
        <w:t>Below is an overview of the services and operations undertaken by the City of Melbourne during 2021-22:</w:t>
      </w:r>
    </w:p>
    <w:p w:rsidR="00A76E0E" w:rsidRPr="00A76E0E" w:rsidRDefault="00A76E0E" w:rsidP="004E2E9B">
      <w:pPr>
        <w:pStyle w:val="ListBullet"/>
      </w:pPr>
      <w:r w:rsidRPr="00A76E0E">
        <w:t>Animal management</w:t>
      </w:r>
    </w:p>
    <w:p w:rsidR="00A76E0E" w:rsidRPr="00A76E0E" w:rsidRDefault="00A76E0E" w:rsidP="004E2E9B">
      <w:pPr>
        <w:pStyle w:val="ListBullet"/>
      </w:pPr>
      <w:r w:rsidRPr="00A76E0E">
        <w:t>Community and cultural services</w:t>
      </w:r>
    </w:p>
    <w:p w:rsidR="00A76E0E" w:rsidRPr="00A76E0E" w:rsidRDefault="00A76E0E" w:rsidP="004E2E9B">
      <w:pPr>
        <w:pStyle w:val="ListBullet"/>
      </w:pPr>
      <w:r w:rsidRPr="00A76E0E">
        <w:t>Event management and sponsorship</w:t>
      </w:r>
    </w:p>
    <w:p w:rsidR="00A76E0E" w:rsidRPr="00A76E0E" w:rsidRDefault="00A76E0E" w:rsidP="004E2E9B">
      <w:pPr>
        <w:pStyle w:val="ListBullet"/>
      </w:pPr>
      <w:r w:rsidRPr="00A76E0E">
        <w:lastRenderedPageBreak/>
        <w:t>Health services</w:t>
      </w:r>
    </w:p>
    <w:p w:rsidR="00A76E0E" w:rsidRPr="00A76E0E" w:rsidRDefault="00A76E0E" w:rsidP="004E2E9B">
      <w:pPr>
        <w:pStyle w:val="ListBullet"/>
      </w:pPr>
      <w:r w:rsidRPr="00A76E0E">
        <w:t>Local laws</w:t>
      </w:r>
    </w:p>
    <w:p w:rsidR="00A76E0E" w:rsidRPr="00A76E0E" w:rsidRDefault="00A76E0E" w:rsidP="004E2E9B">
      <w:pPr>
        <w:pStyle w:val="ListBullet"/>
      </w:pPr>
      <w:r w:rsidRPr="00A76E0E">
        <w:t>Parks, gardens and open space</w:t>
      </w:r>
    </w:p>
    <w:p w:rsidR="00A76E0E" w:rsidRPr="00A76E0E" w:rsidRDefault="00A76E0E" w:rsidP="004E2E9B">
      <w:pPr>
        <w:pStyle w:val="ListBullet"/>
      </w:pPr>
      <w:r w:rsidRPr="00A76E0E">
        <w:t>Planning and building</w:t>
      </w:r>
    </w:p>
    <w:p w:rsidR="00A76E0E" w:rsidRPr="00A76E0E" w:rsidRDefault="00A76E0E" w:rsidP="004E2E9B">
      <w:pPr>
        <w:pStyle w:val="ListBullet"/>
      </w:pPr>
      <w:r w:rsidRPr="00A76E0E">
        <w:t>Recreation services</w:t>
      </w:r>
    </w:p>
    <w:p w:rsidR="00A76E0E" w:rsidRPr="00A76E0E" w:rsidRDefault="00A76E0E" w:rsidP="004E2E9B">
      <w:pPr>
        <w:pStyle w:val="ListBullet"/>
      </w:pPr>
      <w:r w:rsidRPr="00A76E0E">
        <w:t>Roads and parking</w:t>
      </w:r>
    </w:p>
    <w:p w:rsidR="00A76E0E" w:rsidRPr="00A76E0E" w:rsidRDefault="00A76E0E" w:rsidP="004E2E9B">
      <w:pPr>
        <w:pStyle w:val="ListBullet"/>
      </w:pPr>
      <w:r w:rsidRPr="00A76E0E">
        <w:t>Strategic planning</w:t>
      </w:r>
    </w:p>
    <w:p w:rsidR="00A76E0E" w:rsidRPr="00A76E0E" w:rsidRDefault="00A76E0E" w:rsidP="004E2E9B">
      <w:pPr>
        <w:pStyle w:val="ListBullet"/>
      </w:pPr>
      <w:r w:rsidRPr="00A76E0E">
        <w:t>Sustainability</w:t>
      </w:r>
    </w:p>
    <w:p w:rsidR="00A76E0E" w:rsidRPr="00235B6A" w:rsidRDefault="00A76E0E" w:rsidP="00235B6A">
      <w:pPr>
        <w:pStyle w:val="ListBullet"/>
        <w:spacing w:after="0" w:line="240" w:lineRule="auto"/>
      </w:pPr>
      <w:r w:rsidRPr="00A76E0E">
        <w:t>Waste management</w:t>
      </w:r>
      <w:r>
        <w:br w:type="page"/>
      </w:r>
    </w:p>
    <w:p w:rsidR="00A76E0E" w:rsidRDefault="00A76E0E" w:rsidP="00A76E0E">
      <w:pPr>
        <w:pStyle w:val="Heading1"/>
        <w:rPr>
          <w:rFonts w:hint="eastAsia"/>
        </w:rPr>
      </w:pPr>
      <w:bookmarkStart w:id="16" w:name="_Toc158887340"/>
      <w:r>
        <w:lastRenderedPageBreak/>
        <w:t>3. Emissions Boundary</w:t>
      </w:r>
      <w:bookmarkEnd w:id="16"/>
    </w:p>
    <w:p w:rsidR="00A76E0E" w:rsidRDefault="00A76E0E" w:rsidP="00A76E0E">
      <w:pPr>
        <w:pStyle w:val="Heading2"/>
        <w:rPr>
          <w:rFonts w:hint="eastAsia"/>
        </w:rPr>
      </w:pPr>
      <w:bookmarkStart w:id="17" w:name="_Toc158887341"/>
      <w:r>
        <w:t>Inside the emissions boundary</w:t>
      </w:r>
      <w:bookmarkEnd w:id="17"/>
    </w:p>
    <w:p w:rsidR="004D5CE6" w:rsidRDefault="00A76E0E" w:rsidP="00A76E0E">
      <w:pPr>
        <w:rPr>
          <w:lang w:val="en-US"/>
        </w:rPr>
      </w:pPr>
      <w:r w:rsidRPr="00A76E0E">
        <w:rPr>
          <w:lang w:val="en-US"/>
        </w:rPr>
        <w:t>All emission sources listed in the emissions boundary are pa</w:t>
      </w:r>
      <w:r w:rsidR="004D5CE6">
        <w:rPr>
          <w:lang w:val="en-US"/>
        </w:rPr>
        <w:t>rt of the carbon neutral claim.</w:t>
      </w:r>
    </w:p>
    <w:p w:rsidR="004D5CE6" w:rsidRDefault="00A76E0E" w:rsidP="00A76E0E">
      <w:pPr>
        <w:rPr>
          <w:lang w:val="en-US"/>
        </w:rPr>
      </w:pPr>
      <w:r w:rsidRPr="004D5CE6">
        <w:rPr>
          <w:b/>
          <w:lang w:val="en-US"/>
        </w:rPr>
        <w:t>Quantified emissions</w:t>
      </w:r>
      <w:r w:rsidRPr="00A76E0E">
        <w:rPr>
          <w:lang w:val="en-US"/>
        </w:rPr>
        <w:t xml:space="preserve"> have been assessed as relevant and are quantifie</w:t>
      </w:r>
      <w:r w:rsidR="004D5CE6">
        <w:rPr>
          <w:lang w:val="en-US"/>
        </w:rPr>
        <w:t xml:space="preserve">d in the carbon inventory. This </w:t>
      </w:r>
      <w:r w:rsidRPr="00A76E0E">
        <w:rPr>
          <w:lang w:val="en-US"/>
        </w:rPr>
        <w:t>may include emissions that are not identified as arising due to the operations of the certified entity,</w:t>
      </w:r>
      <w:r w:rsidR="004D5CE6">
        <w:rPr>
          <w:lang w:val="en-US"/>
        </w:rPr>
        <w:t xml:space="preserve"> </w:t>
      </w:r>
      <w:r w:rsidRPr="00A76E0E">
        <w:rPr>
          <w:lang w:val="en-US"/>
        </w:rPr>
        <w:t>however are optionally included.</w:t>
      </w:r>
    </w:p>
    <w:p w:rsidR="004D5CE6" w:rsidRDefault="00A76E0E" w:rsidP="00A76E0E">
      <w:pPr>
        <w:rPr>
          <w:lang w:val="en-US"/>
        </w:rPr>
      </w:pPr>
      <w:r w:rsidRPr="004D5CE6">
        <w:rPr>
          <w:b/>
          <w:lang w:val="en-US"/>
        </w:rPr>
        <w:t>Non-quantified emissions</w:t>
      </w:r>
      <w:r w:rsidRPr="00A76E0E">
        <w:rPr>
          <w:lang w:val="en-US"/>
        </w:rPr>
        <w:t xml:space="preserve"> have been assessed as relevant and ar</w:t>
      </w:r>
      <w:r w:rsidR="004D5CE6">
        <w:rPr>
          <w:lang w:val="en-US"/>
        </w:rPr>
        <w:t xml:space="preserve">e captured within the emissions </w:t>
      </w:r>
      <w:r w:rsidRPr="00A76E0E">
        <w:rPr>
          <w:lang w:val="en-US"/>
        </w:rPr>
        <w:t>boundary, but are not measured (quantified) in the carbon inventory. All material emissions are accounted</w:t>
      </w:r>
      <w:r w:rsidR="004D5CE6">
        <w:rPr>
          <w:lang w:val="en-US"/>
        </w:rPr>
        <w:t xml:space="preserve"> </w:t>
      </w:r>
      <w:r w:rsidRPr="00A76E0E">
        <w:rPr>
          <w:lang w:val="en-US"/>
        </w:rPr>
        <w:t>for through an uplift factor. Further detail is available at Appendix C.</w:t>
      </w:r>
    </w:p>
    <w:p w:rsidR="00A76E0E" w:rsidRPr="00A76E0E" w:rsidRDefault="00A76E0E" w:rsidP="004D5CE6">
      <w:pPr>
        <w:pStyle w:val="Heading2"/>
        <w:rPr>
          <w:rFonts w:hint="eastAsia"/>
        </w:rPr>
      </w:pPr>
      <w:bookmarkStart w:id="18" w:name="_Toc158887342"/>
      <w:r w:rsidRPr="00A76E0E">
        <w:t>Outside the emissions boundary</w:t>
      </w:r>
      <w:bookmarkEnd w:id="18"/>
    </w:p>
    <w:p w:rsidR="00A76E0E" w:rsidRDefault="00A76E0E" w:rsidP="00A76E0E">
      <w:pPr>
        <w:rPr>
          <w:lang w:val="en-US"/>
        </w:rPr>
      </w:pPr>
      <w:r w:rsidRPr="004D5CE6">
        <w:rPr>
          <w:b/>
          <w:lang w:val="en-US"/>
        </w:rPr>
        <w:t>Excluded emissions</w:t>
      </w:r>
      <w:r w:rsidRPr="00A76E0E">
        <w:rPr>
          <w:lang w:val="en-US"/>
        </w:rPr>
        <w:t xml:space="preserve"> are those that have been assessed as not relevant </w:t>
      </w:r>
      <w:r w:rsidR="004D5CE6">
        <w:rPr>
          <w:lang w:val="en-US"/>
        </w:rPr>
        <w:t xml:space="preserve">to an organisation’s operations </w:t>
      </w:r>
      <w:r w:rsidRPr="00A76E0E">
        <w:rPr>
          <w:lang w:val="en-US"/>
        </w:rPr>
        <w:t>and are outside of its emissions boundary or are outside of the scope of the certification. These emissions</w:t>
      </w:r>
      <w:r w:rsidR="004D5CE6">
        <w:rPr>
          <w:lang w:val="en-US"/>
        </w:rPr>
        <w:t xml:space="preserve"> </w:t>
      </w:r>
      <w:r w:rsidRPr="00A76E0E">
        <w:rPr>
          <w:lang w:val="en-US"/>
        </w:rPr>
        <w:t>are not part of the carbon neutral claim. Further detail is available at Appendix D.</w:t>
      </w:r>
    </w:p>
    <w:p w:rsidR="004D5CE6" w:rsidRDefault="004D5CE6" w:rsidP="004D5CE6">
      <w:pPr>
        <w:pStyle w:val="Heading2"/>
        <w:rPr>
          <w:rFonts w:hint="eastAsia"/>
        </w:rPr>
      </w:pPr>
      <w:bookmarkStart w:id="19" w:name="_Toc158887343"/>
      <w:r w:rsidRPr="004D5CE6">
        <w:t>Inside the emissions boundary – quantified</w:t>
      </w:r>
      <w:bookmarkEnd w:id="19"/>
    </w:p>
    <w:p w:rsidR="004D5CE6" w:rsidRPr="004D5CE6" w:rsidRDefault="004D5CE6" w:rsidP="004D5CE6">
      <w:pPr>
        <w:pStyle w:val="Heading3"/>
        <w:rPr>
          <w:rFonts w:hint="eastAsia"/>
        </w:rPr>
      </w:pPr>
      <w:bookmarkStart w:id="20" w:name="_Toc158887344"/>
      <w:r w:rsidRPr="004D5CE6">
        <w:t>City of Melbourne:</w:t>
      </w:r>
      <w:bookmarkEnd w:id="20"/>
    </w:p>
    <w:p w:rsidR="004D5CE6" w:rsidRPr="004D5CE6" w:rsidRDefault="004D5CE6" w:rsidP="004E2E9B">
      <w:pPr>
        <w:pStyle w:val="ListBullet"/>
      </w:pPr>
      <w:r w:rsidRPr="004D5CE6">
        <w:t>Electricity</w:t>
      </w:r>
    </w:p>
    <w:p w:rsidR="004D5CE6" w:rsidRPr="004D5CE6" w:rsidRDefault="004D5CE6" w:rsidP="004E2E9B">
      <w:pPr>
        <w:pStyle w:val="ListBullet"/>
      </w:pPr>
      <w:r w:rsidRPr="004D5CE6">
        <w:t>Stationary energy</w:t>
      </w:r>
    </w:p>
    <w:p w:rsidR="004D5CE6" w:rsidRPr="004D5CE6" w:rsidRDefault="004D5CE6" w:rsidP="004E2E9B">
      <w:pPr>
        <w:pStyle w:val="ListBullet"/>
      </w:pPr>
      <w:r w:rsidRPr="004D5CE6">
        <w:t xml:space="preserve">Natural </w:t>
      </w:r>
      <w:r w:rsidR="004E2E9B">
        <w:t>g</w:t>
      </w:r>
      <w:r w:rsidRPr="004D5CE6">
        <w:t>as</w:t>
      </w:r>
    </w:p>
    <w:p w:rsidR="004D5CE6" w:rsidRPr="004D5CE6" w:rsidRDefault="004D5CE6" w:rsidP="004E2E9B">
      <w:pPr>
        <w:pStyle w:val="ListBullet"/>
      </w:pPr>
      <w:r w:rsidRPr="004D5CE6">
        <w:t>Water</w:t>
      </w:r>
    </w:p>
    <w:p w:rsidR="004D5CE6" w:rsidRPr="004D5CE6" w:rsidRDefault="004D5CE6" w:rsidP="004E2E9B">
      <w:pPr>
        <w:pStyle w:val="ListBullet"/>
      </w:pPr>
      <w:r w:rsidRPr="004D5CE6">
        <w:t>Waste</w:t>
      </w:r>
    </w:p>
    <w:p w:rsidR="004D5CE6" w:rsidRPr="004D5CE6" w:rsidRDefault="004D5CE6" w:rsidP="004E2E9B">
      <w:pPr>
        <w:pStyle w:val="ListBullet"/>
      </w:pPr>
      <w:r w:rsidRPr="004D5CE6">
        <w:t xml:space="preserve">Transport </w:t>
      </w:r>
      <w:r w:rsidR="004E2E9B">
        <w:t>f</w:t>
      </w:r>
      <w:r w:rsidRPr="004D5CE6">
        <w:t>uel</w:t>
      </w:r>
    </w:p>
    <w:p w:rsidR="004D5CE6" w:rsidRPr="004D5CE6" w:rsidRDefault="004D5CE6" w:rsidP="004E2E9B">
      <w:pPr>
        <w:pStyle w:val="ListBullet"/>
      </w:pPr>
      <w:r w:rsidRPr="004D5CE6">
        <w:t>Refrigerants</w:t>
      </w:r>
    </w:p>
    <w:p w:rsidR="004D5CE6" w:rsidRPr="004D5CE6" w:rsidRDefault="004D5CE6" w:rsidP="004E2E9B">
      <w:pPr>
        <w:pStyle w:val="ListBullet"/>
      </w:pPr>
      <w:r w:rsidRPr="004D5CE6">
        <w:t>Paper</w:t>
      </w:r>
    </w:p>
    <w:p w:rsidR="004D5CE6" w:rsidRPr="004D5CE6" w:rsidRDefault="004D5CE6" w:rsidP="004E2E9B">
      <w:pPr>
        <w:pStyle w:val="ListBullet"/>
      </w:pPr>
      <w:r w:rsidRPr="004D5CE6">
        <w:t xml:space="preserve">Business </w:t>
      </w:r>
      <w:r w:rsidR="004E2E9B">
        <w:t>t</w:t>
      </w:r>
      <w:r w:rsidRPr="004D5CE6">
        <w:t>ravel –</w:t>
      </w:r>
      <w:r w:rsidR="004E2E9B">
        <w:t xml:space="preserve"> </w:t>
      </w:r>
      <w:r w:rsidRPr="004D5CE6">
        <w:t>flights, taxi</w:t>
      </w:r>
    </w:p>
    <w:p w:rsidR="004D5CE6" w:rsidRPr="004D5CE6" w:rsidRDefault="004D5CE6" w:rsidP="004E2E9B">
      <w:pPr>
        <w:pStyle w:val="ListBullet"/>
      </w:pPr>
      <w:r w:rsidRPr="004D5CE6">
        <w:t xml:space="preserve">Staff </w:t>
      </w:r>
      <w:r w:rsidR="004E2E9B">
        <w:t>c</w:t>
      </w:r>
      <w:r w:rsidRPr="004D5CE6">
        <w:t xml:space="preserve">ommute to </w:t>
      </w:r>
      <w:r w:rsidR="004E2E9B">
        <w:t>w</w:t>
      </w:r>
      <w:r w:rsidRPr="004D5CE6">
        <w:t>ork</w:t>
      </w:r>
    </w:p>
    <w:p w:rsidR="004D5CE6" w:rsidRPr="004D5CE6" w:rsidRDefault="004D5CE6" w:rsidP="004E2E9B">
      <w:pPr>
        <w:pStyle w:val="ListBullet"/>
      </w:pPr>
      <w:r w:rsidRPr="004D5CE6">
        <w:t xml:space="preserve">Working from </w:t>
      </w:r>
      <w:r w:rsidR="004E2E9B">
        <w:t>h</w:t>
      </w:r>
      <w:r w:rsidRPr="004D5CE6">
        <w:t>ome</w:t>
      </w:r>
    </w:p>
    <w:p w:rsidR="004D5CE6" w:rsidRPr="004D5CE6" w:rsidRDefault="004D5CE6" w:rsidP="004E2E9B">
      <w:pPr>
        <w:pStyle w:val="ListBullet"/>
      </w:pPr>
      <w:r w:rsidRPr="004D5CE6">
        <w:t>Waste</w:t>
      </w:r>
    </w:p>
    <w:p w:rsidR="004D5CE6" w:rsidRPr="004D5CE6" w:rsidRDefault="004D5CE6" w:rsidP="004E2E9B">
      <w:pPr>
        <w:pStyle w:val="ListBullet"/>
      </w:pPr>
      <w:r w:rsidRPr="004D5CE6">
        <w:t>Recycling</w:t>
      </w:r>
    </w:p>
    <w:p w:rsidR="004D5CE6" w:rsidRPr="004D5CE6" w:rsidRDefault="004D5CE6" w:rsidP="004E2E9B">
      <w:pPr>
        <w:pStyle w:val="ListBullet"/>
      </w:pPr>
      <w:r w:rsidRPr="004D5CE6">
        <w:t>Street lighting</w:t>
      </w:r>
    </w:p>
    <w:p w:rsidR="004D5CE6" w:rsidRPr="004D5CE6" w:rsidRDefault="004D5CE6" w:rsidP="004E2E9B">
      <w:pPr>
        <w:pStyle w:val="Heading3"/>
        <w:rPr>
          <w:rFonts w:hint="eastAsia"/>
        </w:rPr>
      </w:pPr>
      <w:bookmarkStart w:id="21" w:name="_Toc158887345"/>
      <w:r w:rsidRPr="004D5CE6">
        <w:t>Subsidiaries:</w:t>
      </w:r>
      <w:bookmarkEnd w:id="21"/>
    </w:p>
    <w:p w:rsidR="004D5CE6" w:rsidRPr="004E2E9B" w:rsidRDefault="004D5CE6" w:rsidP="004E2E9B">
      <w:pPr>
        <w:pStyle w:val="ListBullet"/>
        <w:rPr>
          <w:b/>
        </w:rPr>
      </w:pPr>
      <w:r w:rsidRPr="004E2E9B">
        <w:rPr>
          <w:b/>
        </w:rPr>
        <w:t>Queen Vic Markets:</w:t>
      </w:r>
    </w:p>
    <w:p w:rsidR="004D5CE6" w:rsidRPr="004D5CE6" w:rsidRDefault="004D5CE6" w:rsidP="004E2E9B">
      <w:pPr>
        <w:pStyle w:val="ListBullet2"/>
      </w:pPr>
      <w:r w:rsidRPr="004D5CE6">
        <w:t>Electricity</w:t>
      </w:r>
    </w:p>
    <w:p w:rsidR="004D5CE6" w:rsidRPr="004D5CE6" w:rsidRDefault="004D5CE6" w:rsidP="004E2E9B">
      <w:pPr>
        <w:pStyle w:val="ListBullet2"/>
      </w:pPr>
      <w:r w:rsidRPr="004D5CE6">
        <w:t xml:space="preserve">Natural </w:t>
      </w:r>
      <w:r w:rsidR="004E2E9B">
        <w:t>g</w:t>
      </w:r>
      <w:r w:rsidRPr="004D5CE6">
        <w:t>as</w:t>
      </w:r>
    </w:p>
    <w:p w:rsidR="004D5CE6" w:rsidRPr="004D5CE6" w:rsidRDefault="004D5CE6" w:rsidP="004E2E9B">
      <w:pPr>
        <w:pStyle w:val="ListBullet2"/>
      </w:pPr>
      <w:r w:rsidRPr="004D5CE6">
        <w:t>Fuel</w:t>
      </w:r>
    </w:p>
    <w:p w:rsidR="004D5CE6" w:rsidRPr="004E2E9B" w:rsidRDefault="004D5CE6" w:rsidP="004E2E9B">
      <w:pPr>
        <w:pStyle w:val="ListBullet"/>
        <w:rPr>
          <w:b/>
        </w:rPr>
      </w:pPr>
      <w:r w:rsidRPr="004E2E9B">
        <w:rPr>
          <w:b/>
        </w:rPr>
        <w:lastRenderedPageBreak/>
        <w:t>Citywide:</w:t>
      </w:r>
    </w:p>
    <w:p w:rsidR="004D5CE6" w:rsidRPr="004D5CE6" w:rsidRDefault="004D5CE6" w:rsidP="004E2E9B">
      <w:pPr>
        <w:pStyle w:val="ListBullet2"/>
      </w:pPr>
      <w:r w:rsidRPr="004D5CE6">
        <w:t>Electricity</w:t>
      </w:r>
    </w:p>
    <w:p w:rsidR="004D5CE6" w:rsidRPr="004D5CE6" w:rsidRDefault="004E2E9B" w:rsidP="004E2E9B">
      <w:pPr>
        <w:pStyle w:val="ListBullet2"/>
      </w:pPr>
      <w:r>
        <w:t>Natural g</w:t>
      </w:r>
      <w:r w:rsidR="004D5CE6" w:rsidRPr="004D5CE6">
        <w:t>as</w:t>
      </w:r>
    </w:p>
    <w:p w:rsidR="004D5CE6" w:rsidRPr="004D5CE6" w:rsidRDefault="004D5CE6" w:rsidP="004E2E9B">
      <w:pPr>
        <w:pStyle w:val="ListBullet2"/>
      </w:pPr>
      <w:r w:rsidRPr="004D5CE6">
        <w:t>Fuel</w:t>
      </w:r>
    </w:p>
    <w:p w:rsidR="004D5CE6" w:rsidRPr="004E2E9B" w:rsidRDefault="004D5CE6" w:rsidP="004D5CE6">
      <w:pPr>
        <w:pStyle w:val="ListBullet2"/>
      </w:pPr>
      <w:r w:rsidRPr="004D5CE6">
        <w:t>Waste</w:t>
      </w:r>
    </w:p>
    <w:p w:rsidR="004D5CE6" w:rsidRPr="004D5CE6" w:rsidRDefault="004D5CE6" w:rsidP="004E2E9B">
      <w:pPr>
        <w:pStyle w:val="Heading3"/>
        <w:rPr>
          <w:rFonts w:hint="eastAsia"/>
        </w:rPr>
      </w:pPr>
      <w:bookmarkStart w:id="22" w:name="_Toc158887346"/>
      <w:r w:rsidRPr="004D5CE6">
        <w:t>Supply chain:</w:t>
      </w:r>
      <w:bookmarkEnd w:id="22"/>
    </w:p>
    <w:p w:rsidR="004D5CE6" w:rsidRPr="004D5CE6" w:rsidRDefault="004D5CE6" w:rsidP="004E2E9B">
      <w:pPr>
        <w:pStyle w:val="ListBullet"/>
      </w:pPr>
      <w:r w:rsidRPr="004D5CE6">
        <w:t>Electricity</w:t>
      </w:r>
    </w:p>
    <w:p w:rsidR="004D5CE6" w:rsidRPr="004D5CE6" w:rsidRDefault="004D5CE6" w:rsidP="004E2E9B">
      <w:pPr>
        <w:pStyle w:val="ListBullet"/>
      </w:pPr>
      <w:r w:rsidRPr="004D5CE6">
        <w:t>Natural gas</w:t>
      </w:r>
    </w:p>
    <w:p w:rsidR="004D5CE6" w:rsidRPr="004D5CE6" w:rsidRDefault="004D5CE6" w:rsidP="004E2E9B">
      <w:pPr>
        <w:pStyle w:val="ListBullet"/>
      </w:pPr>
      <w:r w:rsidRPr="004D5CE6">
        <w:t>Fuel</w:t>
      </w:r>
    </w:p>
    <w:p w:rsidR="004D5CE6" w:rsidRPr="004D5CE6" w:rsidRDefault="004D5CE6" w:rsidP="004E2E9B">
      <w:pPr>
        <w:pStyle w:val="ListBullet"/>
      </w:pPr>
      <w:r w:rsidRPr="004D5CE6">
        <w:t>Refrigerant</w:t>
      </w:r>
    </w:p>
    <w:p w:rsidR="004D5CE6" w:rsidRPr="004D5CE6" w:rsidRDefault="004D5CE6" w:rsidP="004E2E9B">
      <w:pPr>
        <w:pStyle w:val="ListBullet"/>
      </w:pPr>
      <w:r w:rsidRPr="004D5CE6">
        <w:t>Waste</w:t>
      </w:r>
    </w:p>
    <w:p w:rsidR="004D5CE6" w:rsidRPr="004D5CE6" w:rsidRDefault="004D5CE6" w:rsidP="004E2E9B">
      <w:pPr>
        <w:pStyle w:val="ListBullet"/>
      </w:pPr>
      <w:r w:rsidRPr="004D5CE6">
        <w:t>Water</w:t>
      </w:r>
    </w:p>
    <w:p w:rsidR="004D5CE6" w:rsidRPr="004D5CE6" w:rsidRDefault="004D5CE6" w:rsidP="004E2E9B">
      <w:pPr>
        <w:pStyle w:val="ListBullet"/>
      </w:pPr>
      <w:r w:rsidRPr="004D5CE6">
        <w:t>Chemicals</w:t>
      </w:r>
    </w:p>
    <w:p w:rsidR="004D5CE6" w:rsidRPr="004D5CE6" w:rsidRDefault="004D5CE6" w:rsidP="004E2E9B">
      <w:pPr>
        <w:pStyle w:val="Heading2"/>
        <w:rPr>
          <w:rFonts w:hint="eastAsia"/>
        </w:rPr>
      </w:pPr>
      <w:bookmarkStart w:id="23" w:name="_Toc158887347"/>
      <w:r w:rsidRPr="004D5CE6">
        <w:t>Inside the emissions boundary – non-quantified</w:t>
      </w:r>
      <w:bookmarkEnd w:id="23"/>
    </w:p>
    <w:p w:rsidR="004D5CE6" w:rsidRPr="004D5CE6" w:rsidRDefault="004D5CE6" w:rsidP="004E2E9B">
      <w:pPr>
        <w:pStyle w:val="ListBullet"/>
      </w:pPr>
      <w:r w:rsidRPr="004D5CE6">
        <w:t>Purchased goods and services with &lt; 0.5% expenditure</w:t>
      </w:r>
    </w:p>
    <w:p w:rsidR="004D5CE6" w:rsidRPr="004D5CE6" w:rsidRDefault="004D5CE6" w:rsidP="004E2E9B">
      <w:pPr>
        <w:pStyle w:val="ListBullet"/>
      </w:pPr>
      <w:r w:rsidRPr="004D5CE6">
        <w:t xml:space="preserve">Web </w:t>
      </w:r>
      <w:r w:rsidR="004E2E9B">
        <w:t>h</w:t>
      </w:r>
      <w:r w:rsidRPr="004D5CE6">
        <w:t xml:space="preserve">osting &amp; </w:t>
      </w:r>
      <w:r w:rsidR="004E2E9B">
        <w:t>s</w:t>
      </w:r>
      <w:r w:rsidRPr="004D5CE6">
        <w:t>ervices</w:t>
      </w:r>
    </w:p>
    <w:p w:rsidR="004D5CE6" w:rsidRPr="004D5CE6" w:rsidRDefault="004D5CE6" w:rsidP="004E2E9B">
      <w:pPr>
        <w:pStyle w:val="ListBullet"/>
      </w:pPr>
      <w:r w:rsidRPr="004D5CE6">
        <w:t>Video / Filming / Photography</w:t>
      </w:r>
    </w:p>
    <w:p w:rsidR="004D5CE6" w:rsidRPr="004D5CE6" w:rsidRDefault="004D5CE6" w:rsidP="004E2E9B">
      <w:pPr>
        <w:pStyle w:val="ListBullet"/>
      </w:pPr>
      <w:r w:rsidRPr="004D5CE6">
        <w:t>Catering</w:t>
      </w:r>
    </w:p>
    <w:p w:rsidR="004D5CE6" w:rsidRPr="004D5CE6" w:rsidRDefault="004D5CE6" w:rsidP="004E2E9B">
      <w:pPr>
        <w:pStyle w:val="ListBullet"/>
      </w:pPr>
      <w:r w:rsidRPr="004D5CE6">
        <w:t xml:space="preserve">Real </w:t>
      </w:r>
      <w:r w:rsidR="004E2E9B">
        <w:t>e</w:t>
      </w:r>
      <w:r w:rsidRPr="004D5CE6">
        <w:t xml:space="preserve">state </w:t>
      </w:r>
      <w:r w:rsidR="004E2E9B">
        <w:t>s</w:t>
      </w:r>
      <w:r w:rsidRPr="004D5CE6">
        <w:t>ervices</w:t>
      </w:r>
    </w:p>
    <w:p w:rsidR="004D5CE6" w:rsidRPr="004D5CE6" w:rsidRDefault="004D5CE6" w:rsidP="004E2E9B">
      <w:pPr>
        <w:pStyle w:val="Heading2"/>
        <w:rPr>
          <w:rFonts w:hint="eastAsia"/>
        </w:rPr>
      </w:pPr>
      <w:bookmarkStart w:id="24" w:name="_Toc158887348"/>
      <w:r w:rsidRPr="004D5CE6">
        <w:t>Outside emissions boundary – excluded</w:t>
      </w:r>
      <w:bookmarkEnd w:id="24"/>
    </w:p>
    <w:p w:rsidR="004D5CE6" w:rsidRPr="004D5CE6" w:rsidRDefault="004E2E9B" w:rsidP="004E2E9B">
      <w:pPr>
        <w:pStyle w:val="ListBullet"/>
      </w:pPr>
      <w:r>
        <w:t>Citywide (</w:t>
      </w:r>
      <w:r w:rsidR="004D5CE6" w:rsidRPr="004D5CE6">
        <w:t>non-CoM contract</w:t>
      </w:r>
      <w:r>
        <w:t>)</w:t>
      </w:r>
    </w:p>
    <w:p w:rsidR="004D5CE6" w:rsidRPr="004D5CE6" w:rsidRDefault="004D5CE6" w:rsidP="004E2E9B">
      <w:pPr>
        <w:pStyle w:val="ListBullet"/>
        <w:numPr>
          <w:ilvl w:val="0"/>
          <w:numId w:val="0"/>
        </w:numPr>
        <w:ind w:left="357"/>
      </w:pPr>
      <w:r w:rsidRPr="004D5CE6">
        <w:t>(Note: Citywide is a wholly owned subsidiary that is not under City of Melbourne’s operational control. Citywide emissions not associated with City of Melbourne usage have been excluded. City of Melbourne represents 19% of Citywide’s revenue and thus emissions not associated with service provision to City of Melbourne are excluded.)</w:t>
      </w:r>
    </w:p>
    <w:p w:rsidR="004D5CE6" w:rsidRPr="004D5CE6" w:rsidRDefault="004D5CE6" w:rsidP="004E2E9B">
      <w:pPr>
        <w:pStyle w:val="ListBullet"/>
      </w:pPr>
      <w:r w:rsidRPr="004D5CE6">
        <w:t>Municipal waste disposal at third party facilities</w:t>
      </w:r>
    </w:p>
    <w:p w:rsidR="004D5CE6" w:rsidRPr="004D5CE6" w:rsidRDefault="004D5CE6" w:rsidP="004E2E9B">
      <w:pPr>
        <w:pStyle w:val="ListBullet"/>
      </w:pPr>
      <w:r w:rsidRPr="004D5CE6">
        <w:t xml:space="preserve">Animal </w:t>
      </w:r>
      <w:r w:rsidR="004E2E9B">
        <w:t>m</w:t>
      </w:r>
      <w:r w:rsidRPr="004D5CE6">
        <w:t>anagement</w:t>
      </w:r>
    </w:p>
    <w:p w:rsidR="004D5CE6" w:rsidRPr="004D5CE6" w:rsidRDefault="004D5CE6" w:rsidP="004E2E9B">
      <w:pPr>
        <w:pStyle w:val="ListBullet"/>
      </w:pPr>
      <w:r w:rsidRPr="004D5CE6">
        <w:t>Upstream transportation &amp; distribution</w:t>
      </w:r>
    </w:p>
    <w:p w:rsidR="004D5CE6" w:rsidRPr="004D5CE6" w:rsidRDefault="004D5CE6" w:rsidP="004E2E9B">
      <w:pPr>
        <w:pStyle w:val="ListBullet"/>
      </w:pPr>
      <w:r w:rsidRPr="004D5CE6">
        <w:t>Business travel (regional)</w:t>
      </w:r>
    </w:p>
    <w:p w:rsidR="004D5CE6" w:rsidRPr="004D5CE6" w:rsidRDefault="004D5CE6" w:rsidP="004E2E9B">
      <w:pPr>
        <w:pStyle w:val="ListBullet"/>
      </w:pPr>
      <w:r w:rsidRPr="004D5CE6">
        <w:t>Downstream transportation &amp; distribution</w:t>
      </w:r>
    </w:p>
    <w:p w:rsidR="004D5CE6" w:rsidRPr="004D5CE6" w:rsidRDefault="004D5CE6" w:rsidP="004E2E9B">
      <w:pPr>
        <w:pStyle w:val="ListBullet"/>
      </w:pPr>
      <w:r w:rsidRPr="004D5CE6">
        <w:t>Processing, use &amp; end of life of sold products</w:t>
      </w:r>
    </w:p>
    <w:p w:rsidR="004D5CE6" w:rsidRPr="004D5CE6" w:rsidRDefault="004D5CE6" w:rsidP="004E2E9B">
      <w:pPr>
        <w:pStyle w:val="ListBullet"/>
      </w:pPr>
      <w:r w:rsidRPr="004D5CE6">
        <w:t>Capital goods</w:t>
      </w:r>
    </w:p>
    <w:p w:rsidR="004D5CE6" w:rsidRPr="004D5CE6" w:rsidRDefault="004D5CE6" w:rsidP="004E2E9B">
      <w:pPr>
        <w:pStyle w:val="ListBullet"/>
      </w:pPr>
      <w:r w:rsidRPr="004D5CE6">
        <w:t>Investments</w:t>
      </w:r>
    </w:p>
    <w:p w:rsidR="004D5CE6" w:rsidRPr="004D5CE6" w:rsidRDefault="004D5CE6" w:rsidP="004E2E9B">
      <w:pPr>
        <w:pStyle w:val="ListBullet"/>
      </w:pPr>
      <w:r w:rsidRPr="004D5CE6">
        <w:t xml:space="preserve">Community </w:t>
      </w:r>
      <w:r w:rsidR="004E2E9B">
        <w:t>e</w:t>
      </w:r>
      <w:r w:rsidRPr="004D5CE6">
        <w:t>missions</w:t>
      </w:r>
    </w:p>
    <w:p w:rsidR="004D5CE6" w:rsidRPr="004D5CE6" w:rsidRDefault="004D5CE6" w:rsidP="004E2E9B">
      <w:pPr>
        <w:pStyle w:val="Heading2"/>
        <w:rPr>
          <w:rFonts w:hint="eastAsia"/>
        </w:rPr>
      </w:pPr>
      <w:bookmarkStart w:id="25" w:name="_Toc158887349"/>
      <w:r w:rsidRPr="004D5CE6">
        <w:lastRenderedPageBreak/>
        <w:t>Data management plan for non-quantified sources</w:t>
      </w:r>
      <w:bookmarkEnd w:id="25"/>
    </w:p>
    <w:p w:rsidR="00514C8A" w:rsidRDefault="004D5CE6" w:rsidP="00235B6A">
      <w:pPr>
        <w:rPr>
          <w:lang w:val="en-US"/>
        </w:rPr>
      </w:pPr>
      <w:r w:rsidRPr="004D5CE6">
        <w:rPr>
          <w:lang w:val="en-US"/>
        </w:rPr>
        <w:t>The data management plan below outlines how more rigorous quantification can be achieved for material (greater than 1%) non-quantified emission sources.</w:t>
      </w:r>
      <w:r w:rsidR="00514C8A">
        <w:rPr>
          <w:lang w:val="en-US"/>
        </w:rPr>
        <w:br w:type="page"/>
      </w:r>
    </w:p>
    <w:p w:rsidR="004D5CE6" w:rsidRDefault="00514C8A" w:rsidP="00514C8A">
      <w:pPr>
        <w:pStyle w:val="Heading1"/>
        <w:rPr>
          <w:rFonts w:hint="eastAsia"/>
        </w:rPr>
      </w:pPr>
      <w:bookmarkStart w:id="26" w:name="_Toc158887350"/>
      <w:r>
        <w:lastRenderedPageBreak/>
        <w:t>4. Emissions Reductions</w:t>
      </w:r>
      <w:bookmarkEnd w:id="26"/>
    </w:p>
    <w:p w:rsidR="00514C8A" w:rsidRDefault="00514C8A" w:rsidP="00514C8A">
      <w:pPr>
        <w:pStyle w:val="Heading2"/>
        <w:rPr>
          <w:rFonts w:hint="eastAsia"/>
        </w:rPr>
      </w:pPr>
      <w:bookmarkStart w:id="27" w:name="_Toc158887351"/>
      <w:r w:rsidRPr="00514C8A">
        <w:t>Emissions reduction strategy</w:t>
      </w:r>
      <w:bookmarkEnd w:id="27"/>
    </w:p>
    <w:p w:rsidR="00514C8A" w:rsidRPr="00514C8A" w:rsidRDefault="00514C8A" w:rsidP="00514C8A">
      <w:r w:rsidRPr="00514C8A">
        <w:t xml:space="preserve">The City of Melbourne has been Climate Active certified since 2011. We </w:t>
      </w:r>
      <w:r>
        <w:t xml:space="preserve">are committed to reducing gross </w:t>
      </w:r>
      <w:r w:rsidRPr="00514C8A">
        <w:t>emissions both in our Council operations and in our municipality as</w:t>
      </w:r>
      <w:r>
        <w:t xml:space="preserve"> a whole. Our new and ambitious </w:t>
      </w:r>
      <w:r w:rsidRPr="00514C8A">
        <w:rPr>
          <w:lang w:val="en-US"/>
        </w:rPr>
        <w:t>commitments include:</w:t>
      </w:r>
    </w:p>
    <w:p w:rsidR="00514C8A" w:rsidRPr="00514C8A" w:rsidRDefault="00514C8A" w:rsidP="00514C8A">
      <w:pPr>
        <w:pStyle w:val="ListBullet"/>
      </w:pPr>
      <w:r w:rsidRPr="00514C8A">
        <w:t>Achieve Net Zero Emissions by 2040 for the entire municipality.</w:t>
      </w:r>
    </w:p>
    <w:p w:rsidR="00514C8A" w:rsidRPr="00514C8A" w:rsidRDefault="00514C8A" w:rsidP="00514C8A">
      <w:pPr>
        <w:pStyle w:val="ListBullet"/>
      </w:pPr>
      <w:r w:rsidRPr="00514C8A">
        <w:t>Transition Council operations from fossil fuels by 2030.</w:t>
      </w:r>
    </w:p>
    <w:p w:rsidR="00514C8A" w:rsidRPr="00514C8A" w:rsidRDefault="00514C8A" w:rsidP="00514C8A">
      <w:pPr>
        <w:pStyle w:val="ListBullet"/>
      </w:pPr>
      <w:r w:rsidRPr="00514C8A">
        <w:t>Embed climate change and biodiversity action in Council pro</w:t>
      </w:r>
      <w:r>
        <w:t xml:space="preserve">cesses, programs and design and </w:t>
      </w:r>
      <w:r w:rsidRPr="00514C8A">
        <w:t>construction of assets.</w:t>
      </w:r>
    </w:p>
    <w:p w:rsidR="00514C8A" w:rsidRPr="00514C8A" w:rsidRDefault="00514C8A" w:rsidP="00514C8A">
      <w:pPr>
        <w:rPr>
          <w:lang w:val="en-US"/>
        </w:rPr>
      </w:pPr>
      <w:r w:rsidRPr="00514C8A">
        <w:rPr>
          <w:lang w:val="en-US"/>
        </w:rPr>
        <w:t xml:space="preserve">Further information can be found at the City of Melbourne’s </w:t>
      </w:r>
      <w:hyperlink r:id="rId10" w:history="1">
        <w:r w:rsidRPr="00514C8A">
          <w:rPr>
            <w:rStyle w:val="Hyperlink"/>
            <w:lang w:val="en-US"/>
          </w:rPr>
          <w:t>Emissions Reduction Plan (ERP) for Council Operations</w:t>
        </w:r>
      </w:hyperlink>
      <w:r>
        <w:rPr>
          <w:rStyle w:val="FootnoteReference"/>
          <w:lang w:val="en-US"/>
        </w:rPr>
        <w:footnoteReference w:id="2"/>
      </w:r>
      <w:r w:rsidRPr="00514C8A">
        <w:rPr>
          <w:lang w:val="en-US"/>
        </w:rPr>
        <w:t xml:space="preserve"> which summarises the actions the City will take to reduc</w:t>
      </w:r>
      <w:r>
        <w:rPr>
          <w:lang w:val="en-US"/>
        </w:rPr>
        <w:t xml:space="preserve">e emissions from activities and </w:t>
      </w:r>
      <w:r w:rsidRPr="00514C8A">
        <w:rPr>
          <w:lang w:val="en-US"/>
        </w:rPr>
        <w:t>operations between 1 July 2021 and 30 June 2026, and maintain carbon neutrality.</w:t>
      </w:r>
    </w:p>
    <w:p w:rsidR="00514C8A" w:rsidRPr="00514C8A" w:rsidRDefault="00514C8A" w:rsidP="00514C8A">
      <w:pPr>
        <w:pStyle w:val="Heading2"/>
        <w:rPr>
          <w:rFonts w:hint="eastAsia"/>
        </w:rPr>
      </w:pPr>
      <w:bookmarkStart w:id="28" w:name="_Toc158887352"/>
      <w:r w:rsidRPr="00514C8A">
        <w:t>Emissions reduction actions</w:t>
      </w:r>
      <w:bookmarkEnd w:id="28"/>
    </w:p>
    <w:p w:rsidR="00514C8A" w:rsidRPr="00514C8A" w:rsidRDefault="00514C8A" w:rsidP="00514C8A">
      <w:pPr>
        <w:rPr>
          <w:lang w:val="en-US"/>
        </w:rPr>
      </w:pPr>
      <w:r w:rsidRPr="00514C8A">
        <w:rPr>
          <w:lang w:val="en-US"/>
        </w:rPr>
        <w:t>The ERP describes actions the City of Melbourne has taken to reduc</w:t>
      </w:r>
      <w:r>
        <w:rPr>
          <w:lang w:val="en-US"/>
        </w:rPr>
        <w:t xml:space="preserve">e emissions from activities and </w:t>
      </w:r>
      <w:r w:rsidRPr="00514C8A">
        <w:rPr>
          <w:lang w:val="en-US"/>
        </w:rPr>
        <w:t>operations across eight priority areas:</w:t>
      </w:r>
    </w:p>
    <w:p w:rsidR="00514C8A" w:rsidRPr="00514C8A" w:rsidRDefault="00514C8A" w:rsidP="00514C8A">
      <w:pPr>
        <w:pStyle w:val="ListNumber"/>
        <w:rPr>
          <w:lang w:val="en-US"/>
        </w:rPr>
      </w:pPr>
      <w:r w:rsidRPr="00514C8A">
        <w:rPr>
          <w:lang w:val="en-US"/>
        </w:rPr>
        <w:t>Carbon Neutral Events</w:t>
      </w:r>
    </w:p>
    <w:p w:rsidR="00514C8A" w:rsidRPr="00514C8A" w:rsidRDefault="00514C8A" w:rsidP="00514C8A">
      <w:pPr>
        <w:pStyle w:val="ListNumber"/>
        <w:rPr>
          <w:lang w:val="en-US"/>
        </w:rPr>
      </w:pPr>
      <w:r w:rsidRPr="00514C8A">
        <w:rPr>
          <w:lang w:val="en-US"/>
        </w:rPr>
        <w:t>Zero carbon for our buildings</w:t>
      </w:r>
    </w:p>
    <w:p w:rsidR="00514C8A" w:rsidRPr="00514C8A" w:rsidRDefault="00514C8A" w:rsidP="00514C8A">
      <w:pPr>
        <w:pStyle w:val="ListNumber"/>
        <w:rPr>
          <w:lang w:val="en-US"/>
        </w:rPr>
      </w:pPr>
      <w:r w:rsidRPr="00514C8A">
        <w:rPr>
          <w:lang w:val="en-US"/>
        </w:rPr>
        <w:t>Measure and minimise embodied carbon in design and construction</w:t>
      </w:r>
    </w:p>
    <w:p w:rsidR="00514C8A" w:rsidRPr="00514C8A" w:rsidRDefault="00514C8A" w:rsidP="00514C8A">
      <w:pPr>
        <w:pStyle w:val="ListNumber"/>
        <w:rPr>
          <w:lang w:val="en-US"/>
        </w:rPr>
      </w:pPr>
      <w:r w:rsidRPr="00514C8A">
        <w:rPr>
          <w:lang w:val="en-US"/>
        </w:rPr>
        <w:t>Carbon neutral goods and services</w:t>
      </w:r>
    </w:p>
    <w:p w:rsidR="00514C8A" w:rsidRPr="00514C8A" w:rsidRDefault="00514C8A" w:rsidP="00514C8A">
      <w:pPr>
        <w:pStyle w:val="ListNumber"/>
        <w:rPr>
          <w:lang w:val="en-US"/>
        </w:rPr>
      </w:pPr>
      <w:r w:rsidRPr="00514C8A">
        <w:rPr>
          <w:lang w:val="en-US"/>
        </w:rPr>
        <w:t>Zero carbon corporate transport</w:t>
      </w:r>
    </w:p>
    <w:p w:rsidR="00514C8A" w:rsidRPr="00514C8A" w:rsidRDefault="00514C8A" w:rsidP="00514C8A">
      <w:pPr>
        <w:pStyle w:val="ListNumber"/>
        <w:rPr>
          <w:lang w:val="en-US"/>
        </w:rPr>
      </w:pPr>
      <w:r w:rsidRPr="00514C8A">
        <w:rPr>
          <w:lang w:val="en-US"/>
        </w:rPr>
        <w:t>Towards zero waste for Council operations</w:t>
      </w:r>
    </w:p>
    <w:p w:rsidR="00514C8A" w:rsidRPr="00514C8A" w:rsidRDefault="00514C8A" w:rsidP="00514C8A">
      <w:pPr>
        <w:pStyle w:val="ListNumber"/>
        <w:rPr>
          <w:lang w:val="en-US"/>
        </w:rPr>
      </w:pPr>
      <w:r w:rsidRPr="00514C8A">
        <w:rPr>
          <w:lang w:val="en-US"/>
        </w:rPr>
        <w:t>Low emissions subsidiaries</w:t>
      </w:r>
    </w:p>
    <w:p w:rsidR="00514C8A" w:rsidRPr="00514C8A" w:rsidRDefault="00514C8A" w:rsidP="00514C8A">
      <w:pPr>
        <w:pStyle w:val="ListNumber"/>
        <w:rPr>
          <w:lang w:val="en-US"/>
        </w:rPr>
      </w:pPr>
      <w:r w:rsidRPr="00514C8A">
        <w:rPr>
          <w:lang w:val="en-US"/>
        </w:rPr>
        <w:t>Tell City of Melbourne’s climate change story</w:t>
      </w:r>
    </w:p>
    <w:p w:rsidR="00514C8A" w:rsidRPr="00514C8A" w:rsidRDefault="00514C8A" w:rsidP="00514C8A">
      <w:pPr>
        <w:pStyle w:val="Heading2"/>
        <w:rPr>
          <w:rFonts w:hint="eastAsia"/>
        </w:rPr>
      </w:pPr>
      <w:bookmarkStart w:id="29" w:name="_Toc158887353"/>
      <w:r w:rsidRPr="00514C8A">
        <w:t>Melbourne Renewable Energy Project</w:t>
      </w:r>
      <w:bookmarkEnd w:id="29"/>
    </w:p>
    <w:p w:rsidR="00514C8A" w:rsidRDefault="00514C8A" w:rsidP="00514C8A">
      <w:pPr>
        <w:rPr>
          <w:lang w:val="en-US"/>
        </w:rPr>
      </w:pPr>
      <w:r w:rsidRPr="00514C8A">
        <w:rPr>
          <w:lang w:val="en-US"/>
        </w:rPr>
        <w:t xml:space="preserve">The Melbourne Renewable Energy Project (MREP) marked the first time in </w:t>
      </w:r>
      <w:r>
        <w:rPr>
          <w:lang w:val="en-US"/>
        </w:rPr>
        <w:t xml:space="preserve">Australia that a group of local </w:t>
      </w:r>
      <w:r w:rsidRPr="00514C8A">
        <w:rPr>
          <w:lang w:val="en-US"/>
        </w:rPr>
        <w:t>governments, cultural institutions, universities and corporations collecti</w:t>
      </w:r>
      <w:r>
        <w:rPr>
          <w:lang w:val="en-US"/>
        </w:rPr>
        <w:t xml:space="preserve">vely purchased renewable energy </w:t>
      </w:r>
      <w:r w:rsidRPr="00514C8A">
        <w:rPr>
          <w:lang w:val="en-US"/>
        </w:rPr>
        <w:t>from a newly built facility.</w:t>
      </w:r>
    </w:p>
    <w:p w:rsidR="00514C8A" w:rsidRPr="00514C8A" w:rsidRDefault="00514C8A" w:rsidP="00514C8A">
      <w:pPr>
        <w:rPr>
          <w:lang w:val="en-US"/>
        </w:rPr>
      </w:pPr>
      <w:r w:rsidRPr="00514C8A">
        <w:rPr>
          <w:lang w:val="en-US"/>
        </w:rPr>
        <w:t xml:space="preserve">The 39-turbine Crowlands Windfarm near Ararat is owned and operated </w:t>
      </w:r>
      <w:r>
        <w:rPr>
          <w:lang w:val="en-US"/>
        </w:rPr>
        <w:t xml:space="preserve">by Melbourne-based clean energy </w:t>
      </w:r>
      <w:r w:rsidRPr="00514C8A">
        <w:rPr>
          <w:lang w:val="en-US"/>
        </w:rPr>
        <w:t xml:space="preserve">company Pacific Hydro. Under this project, fourteen members of </w:t>
      </w:r>
      <w:r>
        <w:rPr>
          <w:lang w:val="en-US"/>
        </w:rPr>
        <w:t xml:space="preserve">the buying group combined their purchasing </w:t>
      </w:r>
      <w:r w:rsidRPr="00514C8A">
        <w:rPr>
          <w:lang w:val="en-US"/>
        </w:rPr>
        <w:t>power and committed to purchase 88 GWh of electricity per</w:t>
      </w:r>
      <w:r>
        <w:rPr>
          <w:lang w:val="en-US"/>
        </w:rPr>
        <w:t xml:space="preserve"> year from the windfarm under a </w:t>
      </w:r>
      <w:r w:rsidRPr="00514C8A">
        <w:rPr>
          <w:lang w:val="en-US"/>
        </w:rPr>
        <w:t>long-term power purchase agreement. The agreement enabled financing and construction arrangements</w:t>
      </w:r>
      <w:r>
        <w:rPr>
          <w:lang w:val="en-US"/>
        </w:rPr>
        <w:t xml:space="preserve"> </w:t>
      </w:r>
      <w:r w:rsidRPr="00514C8A">
        <w:rPr>
          <w:lang w:val="en-US"/>
        </w:rPr>
        <w:t>for the project; and because the windfarm generates more than the purchasing group's needs, it brings</w:t>
      </w:r>
      <w:r>
        <w:rPr>
          <w:lang w:val="en-US"/>
        </w:rPr>
        <w:t xml:space="preserve"> </w:t>
      </w:r>
      <w:r w:rsidRPr="00514C8A">
        <w:rPr>
          <w:lang w:val="en-US"/>
        </w:rPr>
        <w:t>additional renewable energy into the market.</w:t>
      </w:r>
    </w:p>
    <w:p w:rsidR="00514C8A" w:rsidRPr="00514C8A" w:rsidRDefault="00514C8A" w:rsidP="00514C8A">
      <w:pPr>
        <w:rPr>
          <w:lang w:val="en-US"/>
        </w:rPr>
      </w:pPr>
      <w:r w:rsidRPr="00514C8A">
        <w:rPr>
          <w:lang w:val="en-US"/>
        </w:rPr>
        <w:t>The windfarm began supplying energy from 1 January 2019 and from th</w:t>
      </w:r>
      <w:r>
        <w:rPr>
          <w:lang w:val="en-US"/>
        </w:rPr>
        <w:t xml:space="preserve">is date the City of Melbourne’s </w:t>
      </w:r>
      <w:r w:rsidRPr="00514C8A">
        <w:rPr>
          <w:lang w:val="en-US"/>
        </w:rPr>
        <w:t>electrical load has been powered by renewable energy. The renewable e</w:t>
      </w:r>
      <w:r>
        <w:rPr>
          <w:lang w:val="en-US"/>
        </w:rPr>
        <w:t xml:space="preserve">nergy certificates generated by </w:t>
      </w:r>
      <w:r w:rsidRPr="00514C8A">
        <w:rPr>
          <w:lang w:val="en-US"/>
        </w:rPr>
        <w:t xml:space="preserve">the </w:t>
      </w:r>
      <w:r w:rsidRPr="00514C8A">
        <w:rPr>
          <w:lang w:val="en-US"/>
        </w:rPr>
        <w:lastRenderedPageBreak/>
        <w:t>windfarm are surrendered on behalf of City of Melbourne by our electricity retailer and the electricity</w:t>
      </w:r>
      <w:r>
        <w:rPr>
          <w:lang w:val="en-US"/>
        </w:rPr>
        <w:t xml:space="preserve"> </w:t>
      </w:r>
      <w:r w:rsidRPr="00514C8A">
        <w:rPr>
          <w:lang w:val="en-US"/>
        </w:rPr>
        <w:t>City of Melbourne 9</w:t>
      </w:r>
      <w:r>
        <w:rPr>
          <w:lang w:val="en-US"/>
        </w:rPr>
        <w:t xml:space="preserve"> </w:t>
      </w:r>
      <w:r w:rsidRPr="00514C8A">
        <w:rPr>
          <w:lang w:val="en-US"/>
        </w:rPr>
        <w:t>usage is treated as zero emissions.</w:t>
      </w:r>
    </w:p>
    <w:p w:rsidR="00514C8A" w:rsidRPr="00514C8A" w:rsidRDefault="00514C8A" w:rsidP="00514C8A">
      <w:pPr>
        <w:pStyle w:val="Heading2"/>
        <w:rPr>
          <w:rFonts w:hint="eastAsia"/>
        </w:rPr>
      </w:pPr>
      <w:bookmarkStart w:id="30" w:name="_Toc158887354"/>
      <w:r w:rsidRPr="00514C8A">
        <w:t>Solar</w:t>
      </w:r>
      <w:bookmarkEnd w:id="30"/>
    </w:p>
    <w:p w:rsidR="00514C8A" w:rsidRDefault="00514C8A" w:rsidP="00514C8A">
      <w:pPr>
        <w:rPr>
          <w:lang w:val="en-US"/>
        </w:rPr>
      </w:pPr>
      <w:r w:rsidRPr="00514C8A">
        <w:rPr>
          <w:lang w:val="en-US"/>
        </w:rPr>
        <w:t xml:space="preserve">Since 2003 the City of Melbourne has undertaken multiple solar photovoltaic installations </w:t>
      </w:r>
      <w:r>
        <w:rPr>
          <w:lang w:val="en-US"/>
        </w:rPr>
        <w:t xml:space="preserve">to reduce </w:t>
      </w:r>
      <w:r w:rsidRPr="00514C8A">
        <w:rPr>
          <w:lang w:val="en-US"/>
        </w:rPr>
        <w:t>Council’s reliance on Victoria’s carbon-intensive electricity grid.</w:t>
      </w:r>
    </w:p>
    <w:p w:rsidR="0047796E" w:rsidRDefault="00514C8A" w:rsidP="00235B6A">
      <w:pPr>
        <w:rPr>
          <w:lang w:val="en-US"/>
        </w:rPr>
      </w:pPr>
      <w:r w:rsidRPr="00514C8A">
        <w:rPr>
          <w:lang w:val="en-US"/>
        </w:rPr>
        <w:t xml:space="preserve">The existing solar system at the </w:t>
      </w:r>
      <w:hyperlink r:id="rId11" w:history="1">
        <w:r w:rsidRPr="0047796E">
          <w:rPr>
            <w:rStyle w:val="Hyperlink"/>
            <w:lang w:val="en-US"/>
          </w:rPr>
          <w:t>Queen Vic Market</w:t>
        </w:r>
      </w:hyperlink>
      <w:r w:rsidR="0047796E">
        <w:rPr>
          <w:rStyle w:val="FootnoteReference"/>
          <w:lang w:val="en-US"/>
        </w:rPr>
        <w:footnoteReference w:id="3"/>
      </w:r>
      <w:r w:rsidRPr="00514C8A">
        <w:rPr>
          <w:lang w:val="en-US"/>
        </w:rPr>
        <w:t xml:space="preserve"> was upgraded to a lar</w:t>
      </w:r>
      <w:r>
        <w:rPr>
          <w:lang w:val="en-US"/>
        </w:rPr>
        <w:t xml:space="preserve">ger system in FY23 as part of a </w:t>
      </w:r>
      <w:r w:rsidRPr="00514C8A">
        <w:rPr>
          <w:lang w:val="en-US"/>
        </w:rPr>
        <w:t>wider redevelopment. The new system comprises approximately 1,500 solar panels and abate more than</w:t>
      </w:r>
      <w:r>
        <w:rPr>
          <w:lang w:val="en-US"/>
        </w:rPr>
        <w:t xml:space="preserve"> </w:t>
      </w:r>
      <w:r w:rsidRPr="00514C8A">
        <w:rPr>
          <w:lang w:val="en-US"/>
        </w:rPr>
        <w:t>1,300 tonnes of carbon emissions each year</w:t>
      </w:r>
      <w:r>
        <w:rPr>
          <w:lang w:val="en-US"/>
        </w:rPr>
        <w:t>.</w:t>
      </w:r>
      <w:r w:rsidR="0047796E">
        <w:rPr>
          <w:lang w:val="en-US"/>
        </w:rPr>
        <w:br w:type="page"/>
      </w:r>
    </w:p>
    <w:p w:rsidR="0047796E" w:rsidRDefault="0047796E" w:rsidP="0047796E">
      <w:pPr>
        <w:pStyle w:val="Heading1"/>
        <w:rPr>
          <w:rFonts w:hint="eastAsia"/>
        </w:rPr>
      </w:pPr>
      <w:bookmarkStart w:id="31" w:name="_Toc158887355"/>
      <w:r>
        <w:lastRenderedPageBreak/>
        <w:t>5. Emissions Summary</w:t>
      </w:r>
      <w:bookmarkEnd w:id="31"/>
    </w:p>
    <w:p w:rsidR="0047796E" w:rsidRDefault="0047796E" w:rsidP="0047796E">
      <w:pPr>
        <w:pStyle w:val="Heading2"/>
        <w:rPr>
          <w:rFonts w:hint="eastAsia"/>
          <w:lang w:eastAsia="en-AU"/>
        </w:rPr>
      </w:pPr>
      <w:bookmarkStart w:id="32" w:name="_Toc88829969"/>
      <w:bookmarkStart w:id="33" w:name="_Toc88562252"/>
      <w:bookmarkStart w:id="34" w:name="_Toc158887356"/>
      <w:r>
        <w:rPr>
          <w:lang w:eastAsia="en-AU"/>
        </w:rPr>
        <w:t>Emissions over time</w:t>
      </w:r>
      <w:bookmarkEnd w:id="32"/>
      <w:bookmarkEnd w:id="33"/>
      <w:bookmarkEnd w:id="34"/>
    </w:p>
    <w:p w:rsidR="0047796E" w:rsidRDefault="0047796E" w:rsidP="0047796E">
      <w:pPr>
        <w:rPr>
          <w:lang w:eastAsia="en-AU"/>
        </w:rPr>
      </w:pPr>
      <w:r>
        <w:rPr>
          <w:lang w:eastAsia="en-AU"/>
        </w:rPr>
        <w:t>The below table summarises the total emissions of each reporting period since the City of Melbourne started reporting through Climate Active (formally National Carbon Offset Standard) in 2011-12.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22"/>
        <w:gridCol w:w="1559"/>
      </w:tblGrid>
      <w:tr w:rsidR="0047796E" w:rsidTr="004E4A3F">
        <w:tc>
          <w:tcPr>
            <w:tcW w:w="2122" w:type="dxa"/>
            <w:tcBorders>
              <w:top w:val="single" w:sz="4" w:space="0" w:color="auto"/>
              <w:left w:val="single" w:sz="4" w:space="0" w:color="auto"/>
              <w:bottom w:val="single" w:sz="4" w:space="0" w:color="auto"/>
              <w:right w:val="single" w:sz="4" w:space="0" w:color="auto"/>
            </w:tcBorders>
          </w:tcPr>
          <w:p w:rsidR="0047796E" w:rsidRPr="001773DC" w:rsidRDefault="0047796E" w:rsidP="004E4A3F">
            <w:pPr>
              <w:pStyle w:val="TableofFigures"/>
              <w:rPr>
                <w:rFonts w:eastAsia="Cambria"/>
                <w:b/>
              </w:rPr>
            </w:pPr>
            <w:r w:rsidRPr="001773DC">
              <w:rPr>
                <w:rFonts w:eastAsia="Cambria"/>
                <w:b/>
              </w:rPr>
              <w:t>Year</w:t>
            </w:r>
          </w:p>
        </w:tc>
        <w:tc>
          <w:tcPr>
            <w:tcW w:w="1559" w:type="dxa"/>
            <w:tcBorders>
              <w:top w:val="single" w:sz="4" w:space="0" w:color="auto"/>
              <w:left w:val="single" w:sz="4" w:space="0" w:color="auto"/>
              <w:bottom w:val="single" w:sz="4" w:space="0" w:color="auto"/>
              <w:right w:val="single" w:sz="4" w:space="0" w:color="auto"/>
            </w:tcBorders>
            <w:hideMark/>
          </w:tcPr>
          <w:p w:rsidR="0047796E" w:rsidRPr="001773DC" w:rsidRDefault="0047796E" w:rsidP="00235B6A">
            <w:pPr>
              <w:pStyle w:val="TableofFigures"/>
              <w:rPr>
                <w:rFonts w:eastAsia="Cambria"/>
                <w:b/>
              </w:rPr>
            </w:pPr>
            <w:r w:rsidRPr="001773DC">
              <w:rPr>
                <w:rFonts w:eastAsia="Cambria"/>
                <w:b/>
              </w:rPr>
              <w:t>Total tCO</w:t>
            </w:r>
            <w:r w:rsidRPr="001773DC">
              <w:rPr>
                <w:rFonts w:eastAsia="Cambria"/>
                <w:b/>
                <w:vertAlign w:val="subscript"/>
              </w:rPr>
              <w:t>2</w:t>
            </w:r>
            <w:r w:rsidRPr="001773DC">
              <w:rPr>
                <w:rFonts w:eastAsia="Cambria"/>
                <w:b/>
              </w:rPr>
              <w:t>e</w:t>
            </w:r>
          </w:p>
        </w:tc>
      </w:tr>
      <w:tr w:rsidR="0047796E" w:rsidTr="004E4A3F">
        <w:tc>
          <w:tcPr>
            <w:tcW w:w="212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Year 1: 2011-12</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52,059</w:t>
            </w:r>
          </w:p>
        </w:tc>
      </w:tr>
      <w:tr w:rsidR="0047796E" w:rsidTr="004E4A3F">
        <w:tc>
          <w:tcPr>
            <w:tcW w:w="212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Year 2: 2012-13</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49,030</w:t>
            </w:r>
          </w:p>
        </w:tc>
      </w:tr>
      <w:tr w:rsidR="0047796E" w:rsidTr="004E4A3F">
        <w:tc>
          <w:tcPr>
            <w:tcW w:w="212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Year 3: 2013-14</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50,967</w:t>
            </w:r>
          </w:p>
        </w:tc>
      </w:tr>
      <w:tr w:rsidR="0047796E" w:rsidTr="004E4A3F">
        <w:tc>
          <w:tcPr>
            <w:tcW w:w="212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Year 4: 2014-15</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46,125</w:t>
            </w:r>
          </w:p>
        </w:tc>
      </w:tr>
      <w:tr w:rsidR="0047796E" w:rsidTr="004E4A3F">
        <w:tc>
          <w:tcPr>
            <w:tcW w:w="212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Year 5: 2015-16</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43,083</w:t>
            </w:r>
          </w:p>
        </w:tc>
      </w:tr>
      <w:tr w:rsidR="0047796E" w:rsidTr="004E4A3F">
        <w:tc>
          <w:tcPr>
            <w:tcW w:w="212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Year 6: 2016-17</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37,172</w:t>
            </w:r>
          </w:p>
        </w:tc>
      </w:tr>
      <w:tr w:rsidR="0047796E" w:rsidTr="004E4A3F">
        <w:tc>
          <w:tcPr>
            <w:tcW w:w="212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Year 7: 2017-18</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35,914</w:t>
            </w:r>
          </w:p>
        </w:tc>
      </w:tr>
      <w:tr w:rsidR="0047796E" w:rsidTr="004E4A3F">
        <w:tc>
          <w:tcPr>
            <w:tcW w:w="212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Year 8: 2018-19</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23,706</w:t>
            </w:r>
          </w:p>
        </w:tc>
      </w:tr>
      <w:tr w:rsidR="0047796E" w:rsidTr="004E4A3F">
        <w:tc>
          <w:tcPr>
            <w:tcW w:w="212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Year 9: 2019-20</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12,346</w:t>
            </w:r>
          </w:p>
        </w:tc>
      </w:tr>
      <w:tr w:rsidR="0047796E" w:rsidTr="004E4A3F">
        <w:tc>
          <w:tcPr>
            <w:tcW w:w="212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Year 10: 2020-21</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11,209</w:t>
            </w:r>
          </w:p>
        </w:tc>
      </w:tr>
      <w:tr w:rsidR="0047796E" w:rsidTr="004E4A3F">
        <w:tc>
          <w:tcPr>
            <w:tcW w:w="2122" w:type="dxa"/>
            <w:tcBorders>
              <w:top w:val="single" w:sz="4" w:space="0" w:color="auto"/>
              <w:left w:val="single" w:sz="4" w:space="0" w:color="auto"/>
              <w:bottom w:val="single" w:sz="4" w:space="0" w:color="auto"/>
              <w:right w:val="single" w:sz="4" w:space="0" w:color="auto"/>
            </w:tcBorders>
          </w:tcPr>
          <w:p w:rsidR="0047796E" w:rsidRDefault="0047796E" w:rsidP="004E4A3F">
            <w:pPr>
              <w:pStyle w:val="TableofFigures"/>
              <w:rPr>
                <w:rFonts w:eastAsia="Cambria"/>
              </w:rPr>
            </w:pPr>
            <w:r>
              <w:rPr>
                <w:rFonts w:eastAsia="Cambria"/>
              </w:rPr>
              <w:t>Year 11: 2021-22</w:t>
            </w:r>
          </w:p>
        </w:tc>
        <w:tc>
          <w:tcPr>
            <w:tcW w:w="1559" w:type="dxa"/>
            <w:tcBorders>
              <w:top w:val="single" w:sz="4" w:space="0" w:color="auto"/>
              <w:left w:val="single" w:sz="4" w:space="0" w:color="auto"/>
              <w:bottom w:val="single" w:sz="4" w:space="0" w:color="auto"/>
              <w:right w:val="single" w:sz="4" w:space="0" w:color="auto"/>
            </w:tcBorders>
          </w:tcPr>
          <w:p w:rsidR="0047796E" w:rsidRDefault="0047796E" w:rsidP="004E4A3F">
            <w:pPr>
              <w:pStyle w:val="TableofFigures"/>
              <w:rPr>
                <w:rFonts w:eastAsia="Cambria"/>
              </w:rPr>
            </w:pPr>
            <w:r>
              <w:rPr>
                <w:rFonts w:eastAsia="Cambria"/>
              </w:rPr>
              <w:t>11,429</w:t>
            </w:r>
          </w:p>
        </w:tc>
      </w:tr>
      <w:tr w:rsidR="0047796E" w:rsidTr="004E4A3F">
        <w:tc>
          <w:tcPr>
            <w:tcW w:w="2122" w:type="dxa"/>
            <w:tcBorders>
              <w:top w:val="single" w:sz="4" w:space="0" w:color="auto"/>
              <w:left w:val="single" w:sz="4" w:space="0" w:color="auto"/>
              <w:bottom w:val="single" w:sz="4" w:space="0" w:color="auto"/>
              <w:right w:val="single" w:sz="4" w:space="0" w:color="auto"/>
            </w:tcBorders>
          </w:tcPr>
          <w:p w:rsidR="0047796E" w:rsidRDefault="0047796E" w:rsidP="004E4A3F">
            <w:pPr>
              <w:pStyle w:val="TableofFigures"/>
              <w:rPr>
                <w:rFonts w:eastAsia="Cambria"/>
              </w:rPr>
            </w:pPr>
            <w:r>
              <w:rPr>
                <w:rFonts w:eastAsia="Cambria"/>
              </w:rPr>
              <w:t>Year 12: 2022-23</w:t>
            </w:r>
          </w:p>
        </w:tc>
        <w:tc>
          <w:tcPr>
            <w:tcW w:w="1559" w:type="dxa"/>
            <w:tcBorders>
              <w:top w:val="single" w:sz="4" w:space="0" w:color="auto"/>
              <w:left w:val="single" w:sz="4" w:space="0" w:color="auto"/>
              <w:bottom w:val="single" w:sz="4" w:space="0" w:color="auto"/>
              <w:right w:val="single" w:sz="4" w:space="0" w:color="auto"/>
            </w:tcBorders>
          </w:tcPr>
          <w:p w:rsidR="0047796E" w:rsidRDefault="00BC4781" w:rsidP="004E4A3F">
            <w:pPr>
              <w:pStyle w:val="TableofFigures"/>
              <w:rPr>
                <w:rFonts w:eastAsia="Cambria"/>
              </w:rPr>
            </w:pPr>
            <w:r>
              <w:rPr>
                <w:rFonts w:eastAsia="Cambria"/>
              </w:rPr>
              <w:t>12,175</w:t>
            </w:r>
          </w:p>
        </w:tc>
      </w:tr>
    </w:tbl>
    <w:p w:rsidR="0047796E" w:rsidRPr="0047796E" w:rsidRDefault="0047796E" w:rsidP="0047796E">
      <w:pPr>
        <w:pStyle w:val="Heading2"/>
        <w:rPr>
          <w:rFonts w:hint="eastAsia"/>
        </w:rPr>
      </w:pPr>
      <w:bookmarkStart w:id="35" w:name="_Toc158887357"/>
      <w:r w:rsidRPr="0047796E">
        <w:t>Significant changes in emissions</w:t>
      </w:r>
      <w:bookmarkEnd w:id="35"/>
    </w:p>
    <w:p w:rsidR="0047796E" w:rsidRPr="0047796E" w:rsidRDefault="0047796E" w:rsidP="0047796E">
      <w:pPr>
        <w:rPr>
          <w:lang w:val="en-US"/>
        </w:rPr>
      </w:pPr>
      <w:r w:rsidRPr="0047796E">
        <w:rPr>
          <w:lang w:val="en-US"/>
        </w:rPr>
        <w:t>The City of Melbourne has seen a steady decline in emissions each year. In</w:t>
      </w:r>
      <w:r>
        <w:rPr>
          <w:lang w:val="en-US"/>
        </w:rPr>
        <w:t xml:space="preserve"> total, the City of Melbourne’s </w:t>
      </w:r>
      <w:r w:rsidRPr="0047796E">
        <w:rPr>
          <w:lang w:val="en-US"/>
        </w:rPr>
        <w:t>operational emissions have reduced by 78 per cent from our 2011-12 bas</w:t>
      </w:r>
      <w:r>
        <w:rPr>
          <w:lang w:val="en-US"/>
        </w:rPr>
        <w:t xml:space="preserve">eline. Emission reductions have </w:t>
      </w:r>
      <w:r w:rsidRPr="0047796E">
        <w:rPr>
          <w:lang w:val="en-US"/>
        </w:rPr>
        <w:t>been driven largely by our Emissions Reduction Plan, however re</w:t>
      </w:r>
      <w:r>
        <w:rPr>
          <w:lang w:val="en-US"/>
        </w:rPr>
        <w:t xml:space="preserve">ductions have far exceeding the </w:t>
      </w:r>
      <w:r w:rsidRPr="0047796E">
        <w:rPr>
          <w:lang w:val="en-US"/>
        </w:rPr>
        <w:t>science</w:t>
      </w:r>
      <w:r>
        <w:rPr>
          <w:lang w:val="en-US"/>
        </w:rPr>
        <w:t>-</w:t>
      </w:r>
      <w:r w:rsidRPr="0047796E">
        <w:rPr>
          <w:lang w:val="en-US"/>
        </w:rPr>
        <w:t>based targets set out in this Plan.</w:t>
      </w:r>
    </w:p>
    <w:p w:rsidR="0047796E" w:rsidRDefault="0047796E" w:rsidP="004E4A3F">
      <w:pPr>
        <w:pStyle w:val="ListBullet"/>
      </w:pPr>
      <w:r w:rsidRPr="0047796E">
        <w:t>Reductions between FY16 and FY18 are attributable to major energy efficiency program funded</w:t>
      </w:r>
      <w:r>
        <w:t xml:space="preserve"> </w:t>
      </w:r>
      <w:r w:rsidRPr="0047796E">
        <w:t>by the Clean Energy Finance Corporation (CEFC).</w:t>
      </w:r>
    </w:p>
    <w:p w:rsidR="0047796E" w:rsidRDefault="0047796E" w:rsidP="004E4A3F">
      <w:pPr>
        <w:pStyle w:val="ListBullet"/>
      </w:pPr>
      <w:r w:rsidRPr="0047796E">
        <w:t>Significant step changes between FY19 and FY20 were a result of the purcha</w:t>
      </w:r>
      <w:r>
        <w:t xml:space="preserve">se of renewable </w:t>
      </w:r>
      <w:r w:rsidRPr="0047796E">
        <w:t>energy through the Melbourne Renewable Energy Project.</w:t>
      </w:r>
    </w:p>
    <w:p w:rsidR="0047796E" w:rsidRPr="0047796E" w:rsidRDefault="0047796E" w:rsidP="004E4A3F">
      <w:pPr>
        <w:pStyle w:val="ListBullet"/>
      </w:pPr>
      <w:r w:rsidRPr="0047796E">
        <w:t>Changes between FY21 and FY23 are predominantly due to the easing of COVID-19 lockdown</w:t>
      </w:r>
      <w:r>
        <w:t xml:space="preserve"> </w:t>
      </w:r>
      <w:r w:rsidRPr="0047796E">
        <w:t>restrictions and improvement in the quality of data gathering for major emissions sources.</w:t>
      </w:r>
    </w:p>
    <w:p w:rsidR="0047796E" w:rsidRPr="0047796E" w:rsidRDefault="0047796E" w:rsidP="0047796E">
      <w:pPr>
        <w:pStyle w:val="Heading3"/>
        <w:rPr>
          <w:rFonts w:hint="eastAsia"/>
        </w:rPr>
      </w:pPr>
      <w:bookmarkStart w:id="36" w:name="_Toc158887358"/>
      <w:r w:rsidRPr="0047796E">
        <w:t>Changes in emission source categories</w:t>
      </w:r>
      <w:bookmarkEnd w:id="36"/>
    </w:p>
    <w:p w:rsidR="00514C8A" w:rsidRDefault="0047796E" w:rsidP="0047796E">
      <w:pPr>
        <w:rPr>
          <w:lang w:val="en-US"/>
        </w:rPr>
      </w:pPr>
      <w:r w:rsidRPr="0047796E">
        <w:rPr>
          <w:lang w:val="en-US"/>
        </w:rPr>
        <w:t>The below table summarises the reasons for significant (+/- 10%) chang</w:t>
      </w:r>
      <w:r>
        <w:rPr>
          <w:lang w:val="en-US"/>
        </w:rPr>
        <w:t xml:space="preserve">e in emission source categories </w:t>
      </w:r>
      <w:r w:rsidRPr="0047796E">
        <w:rPr>
          <w:lang w:val="en-US"/>
        </w:rPr>
        <w:t>between this year (FY23) and the previous year.</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325"/>
        <w:gridCol w:w="2153"/>
        <w:gridCol w:w="2590"/>
        <w:gridCol w:w="2701"/>
      </w:tblGrid>
      <w:tr w:rsidR="0047796E" w:rsidTr="0047796E">
        <w:trPr>
          <w:tblHeader/>
        </w:trPr>
        <w:tc>
          <w:tcPr>
            <w:tcW w:w="2325" w:type="dxa"/>
            <w:tcBorders>
              <w:top w:val="single" w:sz="4" w:space="0" w:color="auto"/>
              <w:left w:val="single" w:sz="4" w:space="0" w:color="auto"/>
              <w:bottom w:val="single" w:sz="4" w:space="0" w:color="auto"/>
              <w:right w:val="single" w:sz="4" w:space="0" w:color="auto"/>
            </w:tcBorders>
            <w:hideMark/>
          </w:tcPr>
          <w:p w:rsidR="0047796E" w:rsidRDefault="0047796E" w:rsidP="0047796E">
            <w:pPr>
              <w:pStyle w:val="TableofFigures"/>
              <w:rPr>
                <w:rFonts w:eastAsia="Cambria"/>
                <w:b/>
              </w:rPr>
            </w:pPr>
            <w:r>
              <w:rPr>
                <w:rFonts w:eastAsia="Cambria"/>
                <w:b/>
              </w:rPr>
              <w:t>Emission source name</w:t>
            </w:r>
          </w:p>
        </w:tc>
        <w:tc>
          <w:tcPr>
            <w:tcW w:w="2153" w:type="dxa"/>
            <w:tcBorders>
              <w:top w:val="single" w:sz="4" w:space="0" w:color="auto"/>
              <w:left w:val="single" w:sz="4" w:space="0" w:color="auto"/>
              <w:bottom w:val="single" w:sz="4" w:space="0" w:color="auto"/>
              <w:right w:val="single" w:sz="4" w:space="0" w:color="auto"/>
            </w:tcBorders>
            <w:hideMark/>
          </w:tcPr>
          <w:p w:rsidR="0047796E" w:rsidRDefault="0047796E" w:rsidP="00235B6A">
            <w:pPr>
              <w:pStyle w:val="TableofFigures"/>
              <w:rPr>
                <w:rFonts w:eastAsia="Cambria"/>
                <w:b/>
              </w:rPr>
            </w:pPr>
            <w:r>
              <w:rPr>
                <w:rFonts w:eastAsia="Cambria"/>
                <w:b/>
              </w:rPr>
              <w:t>Previous year (tCO</w:t>
            </w:r>
            <w:r>
              <w:rPr>
                <w:rFonts w:ascii="Arial Bold" w:eastAsia="Cambria" w:hAnsi="Arial Bold"/>
                <w:b/>
                <w:vertAlign w:val="subscript"/>
              </w:rPr>
              <w:t>2</w:t>
            </w:r>
            <w:r>
              <w:rPr>
                <w:rFonts w:eastAsia="Cambria"/>
                <w:b/>
              </w:rPr>
              <w:t>e and/ or activity data)</w:t>
            </w:r>
          </w:p>
        </w:tc>
        <w:tc>
          <w:tcPr>
            <w:tcW w:w="2590" w:type="dxa"/>
            <w:tcBorders>
              <w:top w:val="single" w:sz="4" w:space="0" w:color="auto"/>
              <w:left w:val="single" w:sz="4" w:space="0" w:color="auto"/>
              <w:bottom w:val="single" w:sz="4" w:space="0" w:color="auto"/>
              <w:right w:val="single" w:sz="4" w:space="0" w:color="auto"/>
            </w:tcBorders>
          </w:tcPr>
          <w:p w:rsidR="0047796E" w:rsidRDefault="0047796E" w:rsidP="0047796E">
            <w:pPr>
              <w:pStyle w:val="TableofFigures"/>
              <w:rPr>
                <w:rFonts w:eastAsia="Cambria"/>
                <w:b/>
              </w:rPr>
            </w:pPr>
            <w:r>
              <w:rPr>
                <w:rFonts w:eastAsia="Cambria"/>
                <w:b/>
              </w:rPr>
              <w:t>Current year (tCO</w:t>
            </w:r>
            <w:r>
              <w:rPr>
                <w:rFonts w:ascii="Arial Bold" w:eastAsia="Cambria" w:hAnsi="Arial Bold"/>
                <w:b/>
                <w:vertAlign w:val="subscript"/>
              </w:rPr>
              <w:t>2</w:t>
            </w:r>
            <w:r>
              <w:rPr>
                <w:rFonts w:eastAsia="Cambria"/>
                <w:b/>
              </w:rPr>
              <w:t>-e and/ or activity data)</w:t>
            </w:r>
          </w:p>
        </w:tc>
        <w:tc>
          <w:tcPr>
            <w:tcW w:w="2701" w:type="dxa"/>
            <w:tcBorders>
              <w:top w:val="single" w:sz="4" w:space="0" w:color="auto"/>
              <w:left w:val="single" w:sz="4" w:space="0" w:color="auto"/>
              <w:bottom w:val="single" w:sz="4" w:space="0" w:color="auto"/>
              <w:right w:val="single" w:sz="4" w:space="0" w:color="auto"/>
            </w:tcBorders>
            <w:hideMark/>
          </w:tcPr>
          <w:p w:rsidR="0047796E" w:rsidRDefault="0047796E" w:rsidP="0047796E">
            <w:pPr>
              <w:pStyle w:val="TableofFigures"/>
              <w:rPr>
                <w:rFonts w:eastAsia="Cambria"/>
                <w:b/>
              </w:rPr>
            </w:pPr>
            <w:r>
              <w:rPr>
                <w:rFonts w:eastAsia="Cambria"/>
                <w:b/>
              </w:rPr>
              <w:t>Detailed reason for change</w:t>
            </w:r>
          </w:p>
        </w:tc>
      </w:tr>
      <w:tr w:rsidR="0047796E" w:rsidTr="0047796E">
        <w:tc>
          <w:tcPr>
            <w:tcW w:w="2325" w:type="dxa"/>
            <w:tcBorders>
              <w:top w:val="single" w:sz="4" w:space="0" w:color="auto"/>
              <w:left w:val="single" w:sz="4" w:space="0" w:color="auto"/>
              <w:bottom w:val="single" w:sz="4" w:space="0" w:color="auto"/>
              <w:right w:val="single" w:sz="4" w:space="0" w:color="auto"/>
            </w:tcBorders>
          </w:tcPr>
          <w:p w:rsidR="0047796E" w:rsidRDefault="0047796E" w:rsidP="0047796E">
            <w:pPr>
              <w:pStyle w:val="TableofFigures"/>
              <w:rPr>
                <w:rFonts w:eastAsia="Cambria"/>
              </w:rPr>
            </w:pPr>
            <w:r w:rsidRPr="0047796E">
              <w:rPr>
                <w:rFonts w:eastAsia="Cambria"/>
              </w:rPr>
              <w:t>Diesel oil post-2004</w:t>
            </w:r>
          </w:p>
        </w:tc>
        <w:tc>
          <w:tcPr>
            <w:tcW w:w="2153" w:type="dxa"/>
            <w:tcBorders>
              <w:top w:val="single" w:sz="4" w:space="0" w:color="auto"/>
              <w:left w:val="single" w:sz="4" w:space="0" w:color="auto"/>
              <w:bottom w:val="single" w:sz="4" w:space="0" w:color="auto"/>
              <w:right w:val="single" w:sz="4" w:space="0" w:color="auto"/>
            </w:tcBorders>
          </w:tcPr>
          <w:p w:rsidR="0047796E" w:rsidRDefault="0047796E" w:rsidP="0047796E">
            <w:pPr>
              <w:pStyle w:val="TableofFigures"/>
              <w:rPr>
                <w:rFonts w:eastAsia="Cambria"/>
              </w:rPr>
            </w:pPr>
            <w:r w:rsidRPr="0047796E">
              <w:rPr>
                <w:rFonts w:eastAsia="Cambria"/>
              </w:rPr>
              <w:t>3,157.13</w:t>
            </w:r>
          </w:p>
        </w:tc>
        <w:tc>
          <w:tcPr>
            <w:tcW w:w="2590" w:type="dxa"/>
            <w:tcBorders>
              <w:top w:val="single" w:sz="4" w:space="0" w:color="auto"/>
              <w:left w:val="single" w:sz="4" w:space="0" w:color="auto"/>
              <w:bottom w:val="single" w:sz="4" w:space="0" w:color="auto"/>
              <w:right w:val="single" w:sz="4" w:space="0" w:color="auto"/>
            </w:tcBorders>
          </w:tcPr>
          <w:p w:rsidR="0047796E" w:rsidRDefault="0047796E" w:rsidP="0047796E">
            <w:pPr>
              <w:pStyle w:val="TableofFigures"/>
              <w:rPr>
                <w:rFonts w:eastAsia="Cambria"/>
              </w:rPr>
            </w:pPr>
            <w:r w:rsidRPr="0047796E">
              <w:rPr>
                <w:rFonts w:eastAsia="Cambria"/>
              </w:rPr>
              <w:t>3,886.68</w:t>
            </w:r>
          </w:p>
        </w:tc>
        <w:tc>
          <w:tcPr>
            <w:tcW w:w="2701" w:type="dxa"/>
            <w:tcBorders>
              <w:top w:val="single" w:sz="4" w:space="0" w:color="auto"/>
              <w:left w:val="single" w:sz="4" w:space="0" w:color="auto"/>
              <w:bottom w:val="single" w:sz="4" w:space="0" w:color="auto"/>
              <w:right w:val="single" w:sz="4" w:space="0" w:color="auto"/>
            </w:tcBorders>
          </w:tcPr>
          <w:p w:rsidR="0047796E" w:rsidRDefault="0047796E" w:rsidP="0047796E">
            <w:pPr>
              <w:pStyle w:val="TableofFigures"/>
            </w:pPr>
            <w:r>
              <w:t>Increase of approximately 20% in emissions factor for</w:t>
            </w:r>
          </w:p>
          <w:p w:rsidR="0047796E" w:rsidRDefault="0047796E" w:rsidP="0047796E">
            <w:pPr>
              <w:pStyle w:val="TableofFigures"/>
              <w:rPr>
                <w:rFonts w:eastAsia="Cambria"/>
              </w:rPr>
            </w:pPr>
            <w:r>
              <w:t>Diesel fuel between FY22 and FY23.</w:t>
            </w:r>
          </w:p>
        </w:tc>
      </w:tr>
      <w:tr w:rsidR="0047796E" w:rsidTr="0047796E">
        <w:tc>
          <w:tcPr>
            <w:tcW w:w="2325" w:type="dxa"/>
            <w:tcBorders>
              <w:top w:val="single" w:sz="4" w:space="0" w:color="auto"/>
              <w:left w:val="single" w:sz="4" w:space="0" w:color="auto"/>
              <w:bottom w:val="single" w:sz="4" w:space="0" w:color="auto"/>
              <w:right w:val="single" w:sz="4" w:space="0" w:color="auto"/>
            </w:tcBorders>
            <w:hideMark/>
          </w:tcPr>
          <w:p w:rsidR="0047796E" w:rsidRDefault="0047796E" w:rsidP="0047796E">
            <w:pPr>
              <w:pStyle w:val="TableofFigures"/>
              <w:rPr>
                <w:rFonts w:eastAsia="Cambria"/>
              </w:rPr>
            </w:pPr>
            <w:r>
              <w:rPr>
                <w:rFonts w:eastAsia="Cambria"/>
              </w:rPr>
              <w:lastRenderedPageBreak/>
              <w:t>Water supply and wastewater treatment -Melbourne</w:t>
            </w:r>
          </w:p>
        </w:tc>
        <w:tc>
          <w:tcPr>
            <w:tcW w:w="2153" w:type="dxa"/>
            <w:tcBorders>
              <w:top w:val="single" w:sz="4" w:space="0" w:color="auto"/>
              <w:left w:val="single" w:sz="4" w:space="0" w:color="auto"/>
              <w:bottom w:val="single" w:sz="4" w:space="0" w:color="auto"/>
              <w:right w:val="single" w:sz="4" w:space="0" w:color="auto"/>
            </w:tcBorders>
            <w:hideMark/>
          </w:tcPr>
          <w:p w:rsidR="0047796E" w:rsidRDefault="0047796E" w:rsidP="0047796E">
            <w:pPr>
              <w:pStyle w:val="TableofFigures"/>
              <w:rPr>
                <w:rFonts w:eastAsia="Cambria"/>
              </w:rPr>
            </w:pPr>
            <w:r w:rsidRPr="0047796E">
              <w:rPr>
                <w:rFonts w:eastAsia="Cambria"/>
              </w:rPr>
              <w:t>1,760.05</w:t>
            </w:r>
          </w:p>
        </w:tc>
        <w:tc>
          <w:tcPr>
            <w:tcW w:w="2590" w:type="dxa"/>
            <w:tcBorders>
              <w:top w:val="single" w:sz="4" w:space="0" w:color="auto"/>
              <w:left w:val="single" w:sz="4" w:space="0" w:color="auto"/>
              <w:bottom w:val="single" w:sz="4" w:space="0" w:color="auto"/>
              <w:right w:val="single" w:sz="4" w:space="0" w:color="auto"/>
            </w:tcBorders>
          </w:tcPr>
          <w:p w:rsidR="0047796E" w:rsidRDefault="0047796E" w:rsidP="0047796E">
            <w:pPr>
              <w:pStyle w:val="TableofFigures"/>
              <w:rPr>
                <w:rFonts w:eastAsia="Cambria"/>
              </w:rPr>
            </w:pPr>
            <w:r w:rsidRPr="0047796E">
              <w:rPr>
                <w:rFonts w:eastAsia="Cambria"/>
              </w:rPr>
              <w:t>2,468.82</w:t>
            </w:r>
          </w:p>
        </w:tc>
        <w:tc>
          <w:tcPr>
            <w:tcW w:w="2701" w:type="dxa"/>
            <w:tcBorders>
              <w:top w:val="single" w:sz="4" w:space="0" w:color="auto"/>
              <w:left w:val="single" w:sz="4" w:space="0" w:color="auto"/>
              <w:bottom w:val="single" w:sz="4" w:space="0" w:color="auto"/>
              <w:right w:val="single" w:sz="4" w:space="0" w:color="auto"/>
            </w:tcBorders>
            <w:hideMark/>
          </w:tcPr>
          <w:p w:rsidR="0047796E" w:rsidRDefault="0047796E" w:rsidP="0047796E">
            <w:pPr>
              <w:pStyle w:val="TableofFigures"/>
              <w:rPr>
                <w:rFonts w:eastAsia="Cambria"/>
              </w:rPr>
            </w:pPr>
            <w:r>
              <w:t>Improved data gathering methodology resulted in a number additional water accounts included in FY23 which were not included in FY22.</w:t>
            </w:r>
          </w:p>
        </w:tc>
      </w:tr>
    </w:tbl>
    <w:p w:rsidR="0047796E" w:rsidRPr="0047796E" w:rsidRDefault="0047796E" w:rsidP="0047796E">
      <w:pPr>
        <w:pStyle w:val="Heading2"/>
        <w:rPr>
          <w:rFonts w:hint="eastAsia"/>
        </w:rPr>
      </w:pPr>
      <w:bookmarkStart w:id="37" w:name="_Toc158887359"/>
      <w:r w:rsidRPr="0047796E">
        <w:t>Use of Climate Active carbon neutral products, services, buildings or</w:t>
      </w:r>
      <w:r>
        <w:t xml:space="preserve"> </w:t>
      </w:r>
      <w:r w:rsidRPr="0047796E">
        <w:t>precincts</w:t>
      </w:r>
      <w:bookmarkEnd w:id="37"/>
    </w:p>
    <w:p w:rsidR="0047796E" w:rsidRPr="0047796E" w:rsidRDefault="0047796E" w:rsidP="0047796E">
      <w:pPr>
        <w:rPr>
          <w:lang w:val="en-US"/>
        </w:rPr>
      </w:pPr>
      <w:r w:rsidRPr="0047796E">
        <w:rPr>
          <w:lang w:val="en-US"/>
        </w:rPr>
        <w:t>N/A</w:t>
      </w:r>
    </w:p>
    <w:p w:rsidR="0047796E" w:rsidRPr="0047796E" w:rsidRDefault="0047796E" w:rsidP="0047796E">
      <w:pPr>
        <w:pStyle w:val="Heading2"/>
        <w:rPr>
          <w:rFonts w:hint="eastAsia"/>
        </w:rPr>
      </w:pPr>
      <w:bookmarkStart w:id="38" w:name="_Toc158887360"/>
      <w:r w:rsidRPr="0047796E">
        <w:t>Emissions summary</w:t>
      </w:r>
      <w:bookmarkEnd w:id="38"/>
    </w:p>
    <w:p w:rsidR="0047796E" w:rsidRDefault="0047796E" w:rsidP="0047796E">
      <w:pPr>
        <w:rPr>
          <w:lang w:val="en-US"/>
        </w:rPr>
      </w:pPr>
      <w:r w:rsidRPr="0047796E">
        <w:rPr>
          <w:lang w:val="en-US"/>
        </w:rPr>
        <w:t>The electricity summary is available in the Appendix B. Electricity emissions were calculated using a</w:t>
      </w:r>
      <w:r>
        <w:rPr>
          <w:lang w:val="en-US"/>
        </w:rPr>
        <w:t xml:space="preserve"> </w:t>
      </w:r>
      <w:r w:rsidRPr="0047796E">
        <w:rPr>
          <w:lang w:val="en-US"/>
        </w:rPr>
        <w:t>market-based approach.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2"/>
        <w:gridCol w:w="1559"/>
        <w:gridCol w:w="1560"/>
        <w:gridCol w:w="1559"/>
        <w:gridCol w:w="1701"/>
      </w:tblGrid>
      <w:tr w:rsidR="0047796E" w:rsidTr="004E4A3F">
        <w:trPr>
          <w:tblHeader/>
        </w:trPr>
        <w:tc>
          <w:tcPr>
            <w:tcW w:w="297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b/>
              </w:rPr>
            </w:pPr>
            <w:r>
              <w:rPr>
                <w:rFonts w:eastAsia="Cambria"/>
                <w:b/>
              </w:rPr>
              <w:t>Emission category</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b/>
              </w:rPr>
            </w:pPr>
            <w:r>
              <w:rPr>
                <w:rFonts w:eastAsia="Cambria"/>
                <w:b/>
              </w:rPr>
              <w:t>Sum of</w:t>
            </w:r>
          </w:p>
          <w:p w:rsidR="0047796E" w:rsidRDefault="0047796E" w:rsidP="004E4A3F">
            <w:pPr>
              <w:pStyle w:val="TableofFigures"/>
              <w:jc w:val="center"/>
              <w:rPr>
                <w:rFonts w:eastAsia="Cambria"/>
                <w:b/>
              </w:rPr>
            </w:pPr>
            <w:r>
              <w:rPr>
                <w:rFonts w:eastAsia="Cambria"/>
                <w:b/>
              </w:rPr>
              <w:t>Scope 1</w:t>
            </w:r>
          </w:p>
          <w:p w:rsidR="0047796E" w:rsidRDefault="0047796E" w:rsidP="00235B6A">
            <w:pPr>
              <w:pStyle w:val="TableofFigures"/>
              <w:jc w:val="center"/>
              <w:rPr>
                <w:rFonts w:eastAsia="Cambria"/>
                <w:b/>
              </w:rPr>
            </w:pPr>
            <w:r>
              <w:rPr>
                <w:rFonts w:eastAsia="Cambria"/>
                <w:b/>
              </w:rPr>
              <w:t>(tCO</w:t>
            </w:r>
            <w:r>
              <w:rPr>
                <w:rFonts w:ascii="Arial Bold" w:eastAsia="Cambria" w:hAnsi="Arial Bold"/>
                <w:b/>
                <w:vertAlign w:val="subscript"/>
              </w:rPr>
              <w:t>2</w:t>
            </w:r>
            <w:r>
              <w:rPr>
                <w:rFonts w:eastAsia="Cambria"/>
                <w:b/>
              </w:rPr>
              <w:t>e)</w:t>
            </w:r>
          </w:p>
        </w:tc>
        <w:tc>
          <w:tcPr>
            <w:tcW w:w="1560"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b/>
              </w:rPr>
            </w:pPr>
            <w:r>
              <w:rPr>
                <w:rFonts w:eastAsia="Cambria"/>
                <w:b/>
              </w:rPr>
              <w:t>Sum of</w:t>
            </w:r>
          </w:p>
          <w:p w:rsidR="0047796E" w:rsidRDefault="0047796E" w:rsidP="004E4A3F">
            <w:pPr>
              <w:pStyle w:val="TableofFigures"/>
              <w:jc w:val="center"/>
              <w:rPr>
                <w:rFonts w:eastAsia="Cambria"/>
                <w:b/>
              </w:rPr>
            </w:pPr>
            <w:r>
              <w:rPr>
                <w:rFonts w:eastAsia="Cambria"/>
                <w:b/>
              </w:rPr>
              <w:t>Scope 2</w:t>
            </w:r>
          </w:p>
          <w:p w:rsidR="0047796E" w:rsidRDefault="0047796E" w:rsidP="00235B6A">
            <w:pPr>
              <w:pStyle w:val="TableofFigures"/>
              <w:jc w:val="center"/>
              <w:rPr>
                <w:rFonts w:eastAsia="Cambria"/>
                <w:b/>
              </w:rPr>
            </w:pPr>
            <w:r>
              <w:rPr>
                <w:rFonts w:eastAsia="Cambria"/>
                <w:b/>
              </w:rPr>
              <w:t>(tCO</w:t>
            </w:r>
            <w:r>
              <w:rPr>
                <w:rFonts w:ascii="Arial Bold" w:eastAsia="Cambria" w:hAnsi="Arial Bold"/>
                <w:b/>
                <w:vertAlign w:val="subscript"/>
              </w:rPr>
              <w:t>2</w:t>
            </w:r>
            <w:r>
              <w:rPr>
                <w:rFonts w:eastAsia="Cambria"/>
                <w:b/>
              </w:rPr>
              <w:t>e)</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b/>
              </w:rPr>
            </w:pPr>
            <w:r>
              <w:rPr>
                <w:rFonts w:eastAsia="Cambria"/>
                <w:b/>
              </w:rPr>
              <w:t>Sum of</w:t>
            </w:r>
          </w:p>
          <w:p w:rsidR="0047796E" w:rsidRDefault="0047796E" w:rsidP="004E4A3F">
            <w:pPr>
              <w:pStyle w:val="TableofFigures"/>
              <w:jc w:val="center"/>
              <w:rPr>
                <w:rFonts w:eastAsia="Cambria"/>
                <w:b/>
              </w:rPr>
            </w:pPr>
            <w:r>
              <w:rPr>
                <w:rFonts w:eastAsia="Cambria"/>
                <w:b/>
              </w:rPr>
              <w:t>Scope 3</w:t>
            </w:r>
          </w:p>
          <w:p w:rsidR="0047796E" w:rsidRDefault="0047796E" w:rsidP="004E4A3F">
            <w:pPr>
              <w:pStyle w:val="TableofFigures"/>
              <w:jc w:val="center"/>
              <w:rPr>
                <w:rFonts w:eastAsia="Cambria"/>
                <w:b/>
              </w:rPr>
            </w:pPr>
            <w:r>
              <w:rPr>
                <w:rFonts w:eastAsia="Cambria"/>
                <w:b/>
              </w:rPr>
              <w:t>(tCO</w:t>
            </w:r>
            <w:r>
              <w:rPr>
                <w:rFonts w:ascii="Arial Bold" w:eastAsia="Cambria" w:hAnsi="Arial Bold"/>
                <w:b/>
                <w:vertAlign w:val="subscript"/>
              </w:rPr>
              <w:t>2</w:t>
            </w:r>
            <w:r>
              <w:rPr>
                <w:rFonts w:eastAsia="Cambria"/>
                <w:b/>
              </w:rPr>
              <w:t>e)</w:t>
            </w:r>
          </w:p>
        </w:tc>
        <w:tc>
          <w:tcPr>
            <w:tcW w:w="1701"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b/>
              </w:rPr>
            </w:pPr>
            <w:r>
              <w:rPr>
                <w:rFonts w:eastAsia="Cambria"/>
                <w:b/>
              </w:rPr>
              <w:t>Sum of total</w:t>
            </w:r>
          </w:p>
          <w:p w:rsidR="0047796E" w:rsidRDefault="0047796E" w:rsidP="004E4A3F">
            <w:pPr>
              <w:pStyle w:val="TableofFigures"/>
              <w:jc w:val="center"/>
              <w:rPr>
                <w:rFonts w:eastAsia="Cambria"/>
                <w:b/>
              </w:rPr>
            </w:pPr>
            <w:r>
              <w:rPr>
                <w:rFonts w:eastAsia="Cambria"/>
                <w:b/>
              </w:rPr>
              <w:t>emissions</w:t>
            </w:r>
          </w:p>
          <w:p w:rsidR="0047796E" w:rsidRDefault="0047796E" w:rsidP="004E4A3F">
            <w:pPr>
              <w:pStyle w:val="TableofFigures"/>
              <w:jc w:val="center"/>
              <w:rPr>
                <w:rFonts w:eastAsia="Cambria"/>
                <w:b/>
              </w:rPr>
            </w:pPr>
            <w:r>
              <w:rPr>
                <w:rFonts w:eastAsia="Cambria"/>
                <w:b/>
              </w:rPr>
              <w:t>(tCO</w:t>
            </w:r>
            <w:r>
              <w:rPr>
                <w:rFonts w:ascii="Arial Bold" w:eastAsia="Cambria" w:hAnsi="Arial Bold"/>
                <w:b/>
                <w:vertAlign w:val="subscript"/>
              </w:rPr>
              <w:t>2</w:t>
            </w:r>
            <w:r>
              <w:rPr>
                <w:rFonts w:eastAsia="Cambria"/>
                <w:b/>
              </w:rPr>
              <w:t>e)</w:t>
            </w:r>
          </w:p>
        </w:tc>
      </w:tr>
      <w:tr w:rsidR="0047796E" w:rsidTr="004E4A3F">
        <w:tc>
          <w:tcPr>
            <w:tcW w:w="297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Accommodation and facilities</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rPr>
            </w:pPr>
            <w:r>
              <w:rPr>
                <w:rFonts w:eastAsia="Cambria"/>
              </w:rPr>
              <w:t>N/A</w:t>
            </w:r>
          </w:p>
        </w:tc>
        <w:tc>
          <w:tcPr>
            <w:tcW w:w="1560"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rPr>
            </w:pPr>
            <w:r>
              <w:rPr>
                <w:rFonts w:eastAsia="Cambria"/>
              </w:rPr>
              <w:t>N/A</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9.05</w:t>
            </w:r>
          </w:p>
        </w:tc>
        <w:tc>
          <w:tcPr>
            <w:tcW w:w="1701"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9.05</w:t>
            </w:r>
          </w:p>
        </w:tc>
      </w:tr>
      <w:tr w:rsidR="0047796E" w:rsidTr="004E4A3F">
        <w:tc>
          <w:tcPr>
            <w:tcW w:w="297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Cleaning and chemicals</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8.98</w:t>
            </w:r>
          </w:p>
        </w:tc>
        <w:tc>
          <w:tcPr>
            <w:tcW w:w="1560"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rPr>
            </w:pPr>
            <w:r>
              <w:rPr>
                <w:rFonts w:eastAsia="Cambria"/>
              </w:rPr>
              <w:t>N/A</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N/A</w:t>
            </w:r>
          </w:p>
        </w:tc>
        <w:tc>
          <w:tcPr>
            <w:tcW w:w="1701"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8.98</w:t>
            </w:r>
          </w:p>
        </w:tc>
      </w:tr>
      <w:tr w:rsidR="0047796E" w:rsidTr="004E4A3F">
        <w:tc>
          <w:tcPr>
            <w:tcW w:w="297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Electricity</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rPr>
            </w:pPr>
            <w:r>
              <w:rPr>
                <w:rFonts w:eastAsia="Cambria"/>
              </w:rPr>
              <w:t>N/A</w:t>
            </w:r>
          </w:p>
        </w:tc>
        <w:tc>
          <w:tcPr>
            <w:tcW w:w="1560"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267.95</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35.46</w:t>
            </w:r>
          </w:p>
        </w:tc>
        <w:tc>
          <w:tcPr>
            <w:tcW w:w="1701"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303.42</w:t>
            </w:r>
          </w:p>
        </w:tc>
      </w:tr>
      <w:tr w:rsidR="0047796E" w:rsidTr="004E4A3F">
        <w:tc>
          <w:tcPr>
            <w:tcW w:w="297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Stationary energy (gaseous fuels)</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933.88</w:t>
            </w:r>
          </w:p>
        </w:tc>
        <w:tc>
          <w:tcPr>
            <w:tcW w:w="1560"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rPr>
            </w:pPr>
            <w:r>
              <w:rPr>
                <w:rFonts w:eastAsia="Cambria"/>
              </w:rPr>
              <w:t>N/A</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72.49</w:t>
            </w:r>
          </w:p>
        </w:tc>
        <w:tc>
          <w:tcPr>
            <w:tcW w:w="1701"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1,006.37</w:t>
            </w:r>
          </w:p>
        </w:tc>
      </w:tr>
      <w:tr w:rsidR="0047796E" w:rsidTr="004E4A3F">
        <w:tc>
          <w:tcPr>
            <w:tcW w:w="2972" w:type="dxa"/>
            <w:tcBorders>
              <w:top w:val="single" w:sz="4" w:space="0" w:color="auto"/>
              <w:left w:val="single" w:sz="4" w:space="0" w:color="auto"/>
              <w:bottom w:val="single" w:sz="4" w:space="0" w:color="auto"/>
              <w:right w:val="single" w:sz="4" w:space="0" w:color="auto"/>
            </w:tcBorders>
          </w:tcPr>
          <w:p w:rsidR="0047796E" w:rsidRDefault="0047796E" w:rsidP="00235B6A">
            <w:pPr>
              <w:pStyle w:val="TableofFigures"/>
              <w:rPr>
                <w:rFonts w:eastAsia="Cambria"/>
              </w:rPr>
            </w:pPr>
            <w:r>
              <w:rPr>
                <w:rFonts w:eastAsia="Cambria"/>
              </w:rPr>
              <w:t>Stationary energy (liquid fuels)</w:t>
            </w:r>
          </w:p>
        </w:tc>
        <w:tc>
          <w:tcPr>
            <w:tcW w:w="1559" w:type="dxa"/>
            <w:tcBorders>
              <w:top w:val="single" w:sz="4" w:space="0" w:color="auto"/>
              <w:left w:val="single" w:sz="4" w:space="0" w:color="auto"/>
              <w:bottom w:val="single" w:sz="4" w:space="0" w:color="auto"/>
              <w:right w:val="single" w:sz="4" w:space="0" w:color="auto"/>
            </w:tcBorders>
          </w:tcPr>
          <w:p w:rsidR="0047796E" w:rsidRDefault="00A05200" w:rsidP="004E4A3F">
            <w:pPr>
              <w:pStyle w:val="TableofFigures"/>
              <w:jc w:val="center"/>
              <w:rPr>
                <w:rFonts w:eastAsia="Cambria"/>
              </w:rPr>
            </w:pPr>
            <w:r>
              <w:rPr>
                <w:rFonts w:eastAsia="Cambria"/>
              </w:rPr>
              <w:t>252.25</w:t>
            </w:r>
          </w:p>
        </w:tc>
        <w:tc>
          <w:tcPr>
            <w:tcW w:w="1560" w:type="dxa"/>
            <w:tcBorders>
              <w:top w:val="single" w:sz="4" w:space="0" w:color="auto"/>
              <w:left w:val="single" w:sz="4" w:space="0" w:color="auto"/>
              <w:bottom w:val="single" w:sz="4" w:space="0" w:color="auto"/>
              <w:right w:val="single" w:sz="4" w:space="0" w:color="auto"/>
            </w:tcBorders>
          </w:tcPr>
          <w:p w:rsidR="0047796E" w:rsidRDefault="0047796E" w:rsidP="004E4A3F">
            <w:pPr>
              <w:pStyle w:val="TableofFigures"/>
              <w:jc w:val="center"/>
              <w:rPr>
                <w:rFonts w:eastAsia="Cambria"/>
              </w:rPr>
            </w:pPr>
            <w:r>
              <w:rPr>
                <w:rFonts w:eastAsia="Cambria"/>
              </w:rPr>
              <w:t>N/A</w:t>
            </w:r>
          </w:p>
        </w:tc>
        <w:tc>
          <w:tcPr>
            <w:tcW w:w="1559" w:type="dxa"/>
            <w:tcBorders>
              <w:top w:val="single" w:sz="4" w:space="0" w:color="auto"/>
              <w:left w:val="single" w:sz="4" w:space="0" w:color="auto"/>
              <w:bottom w:val="single" w:sz="4" w:space="0" w:color="auto"/>
              <w:right w:val="single" w:sz="4" w:space="0" w:color="auto"/>
            </w:tcBorders>
          </w:tcPr>
          <w:p w:rsidR="0047796E" w:rsidRDefault="00A05200" w:rsidP="004E4A3F">
            <w:pPr>
              <w:pStyle w:val="TableofFigures"/>
              <w:jc w:val="center"/>
              <w:rPr>
                <w:rFonts w:eastAsia="Cambria"/>
              </w:rPr>
            </w:pPr>
            <w:r>
              <w:rPr>
                <w:rFonts w:eastAsia="Cambria"/>
              </w:rPr>
              <w:t>66.36</w:t>
            </w:r>
          </w:p>
        </w:tc>
        <w:tc>
          <w:tcPr>
            <w:tcW w:w="1701" w:type="dxa"/>
            <w:tcBorders>
              <w:top w:val="single" w:sz="4" w:space="0" w:color="auto"/>
              <w:left w:val="single" w:sz="4" w:space="0" w:color="auto"/>
              <w:bottom w:val="single" w:sz="4" w:space="0" w:color="auto"/>
              <w:right w:val="single" w:sz="4" w:space="0" w:color="auto"/>
            </w:tcBorders>
          </w:tcPr>
          <w:p w:rsidR="0047796E" w:rsidRDefault="00A05200" w:rsidP="004E4A3F">
            <w:pPr>
              <w:pStyle w:val="TableofFigures"/>
              <w:jc w:val="center"/>
              <w:rPr>
                <w:rFonts w:eastAsia="Cambria"/>
              </w:rPr>
            </w:pPr>
            <w:r>
              <w:rPr>
                <w:rFonts w:eastAsia="Cambria"/>
              </w:rPr>
              <w:t>318.60</w:t>
            </w:r>
          </w:p>
        </w:tc>
      </w:tr>
      <w:tr w:rsidR="0047796E" w:rsidTr="004E4A3F">
        <w:tc>
          <w:tcPr>
            <w:tcW w:w="2972" w:type="dxa"/>
            <w:tcBorders>
              <w:top w:val="single" w:sz="4" w:space="0" w:color="auto"/>
              <w:left w:val="single" w:sz="4" w:space="0" w:color="auto"/>
              <w:bottom w:val="single" w:sz="4" w:space="0" w:color="auto"/>
              <w:right w:val="single" w:sz="4" w:space="0" w:color="auto"/>
            </w:tcBorders>
          </w:tcPr>
          <w:p w:rsidR="0047796E" w:rsidRDefault="0047796E" w:rsidP="004E4A3F">
            <w:pPr>
              <w:pStyle w:val="TableofFigures"/>
              <w:rPr>
                <w:rFonts w:eastAsia="Cambria"/>
              </w:rPr>
            </w:pPr>
            <w:r>
              <w:rPr>
                <w:rFonts w:eastAsia="Cambria"/>
              </w:rPr>
              <w:t>Transport (Air)</w:t>
            </w:r>
          </w:p>
        </w:tc>
        <w:tc>
          <w:tcPr>
            <w:tcW w:w="1559" w:type="dxa"/>
            <w:tcBorders>
              <w:top w:val="single" w:sz="4" w:space="0" w:color="auto"/>
              <w:left w:val="single" w:sz="4" w:space="0" w:color="auto"/>
              <w:bottom w:val="single" w:sz="4" w:space="0" w:color="auto"/>
              <w:right w:val="single" w:sz="4" w:space="0" w:color="auto"/>
            </w:tcBorders>
          </w:tcPr>
          <w:p w:rsidR="0047796E" w:rsidRDefault="0047796E" w:rsidP="004E4A3F">
            <w:pPr>
              <w:pStyle w:val="TableofFigures"/>
              <w:jc w:val="center"/>
              <w:rPr>
                <w:rFonts w:eastAsia="Cambria"/>
              </w:rPr>
            </w:pPr>
            <w:r>
              <w:rPr>
                <w:rFonts w:eastAsia="Cambria"/>
              </w:rPr>
              <w:t>N/A</w:t>
            </w:r>
          </w:p>
        </w:tc>
        <w:tc>
          <w:tcPr>
            <w:tcW w:w="1560" w:type="dxa"/>
            <w:tcBorders>
              <w:top w:val="single" w:sz="4" w:space="0" w:color="auto"/>
              <w:left w:val="single" w:sz="4" w:space="0" w:color="auto"/>
              <w:bottom w:val="single" w:sz="4" w:space="0" w:color="auto"/>
              <w:right w:val="single" w:sz="4" w:space="0" w:color="auto"/>
            </w:tcBorders>
          </w:tcPr>
          <w:p w:rsidR="0047796E" w:rsidRDefault="0047796E" w:rsidP="004E4A3F">
            <w:pPr>
              <w:pStyle w:val="TableofFigures"/>
              <w:jc w:val="center"/>
              <w:rPr>
                <w:rFonts w:eastAsia="Cambria"/>
              </w:rPr>
            </w:pPr>
            <w:r>
              <w:rPr>
                <w:rFonts w:eastAsia="Cambria"/>
              </w:rPr>
              <w:t>N/A</w:t>
            </w:r>
          </w:p>
        </w:tc>
        <w:tc>
          <w:tcPr>
            <w:tcW w:w="1559" w:type="dxa"/>
            <w:tcBorders>
              <w:top w:val="single" w:sz="4" w:space="0" w:color="auto"/>
              <w:left w:val="single" w:sz="4" w:space="0" w:color="auto"/>
              <w:bottom w:val="single" w:sz="4" w:space="0" w:color="auto"/>
              <w:right w:val="single" w:sz="4" w:space="0" w:color="auto"/>
            </w:tcBorders>
          </w:tcPr>
          <w:p w:rsidR="0047796E" w:rsidRDefault="00A05200" w:rsidP="004E4A3F">
            <w:pPr>
              <w:pStyle w:val="TableofFigures"/>
              <w:jc w:val="center"/>
              <w:rPr>
                <w:rFonts w:eastAsia="Cambria"/>
              </w:rPr>
            </w:pPr>
            <w:r>
              <w:rPr>
                <w:rFonts w:eastAsia="Cambria"/>
              </w:rPr>
              <w:t>83.82</w:t>
            </w:r>
          </w:p>
        </w:tc>
        <w:tc>
          <w:tcPr>
            <w:tcW w:w="1701" w:type="dxa"/>
            <w:tcBorders>
              <w:top w:val="single" w:sz="4" w:space="0" w:color="auto"/>
              <w:left w:val="single" w:sz="4" w:space="0" w:color="auto"/>
              <w:bottom w:val="single" w:sz="4" w:space="0" w:color="auto"/>
              <w:right w:val="single" w:sz="4" w:space="0" w:color="auto"/>
            </w:tcBorders>
          </w:tcPr>
          <w:p w:rsidR="0047796E" w:rsidRDefault="00A05200" w:rsidP="004E4A3F">
            <w:pPr>
              <w:pStyle w:val="TableofFigures"/>
              <w:jc w:val="center"/>
              <w:rPr>
                <w:rFonts w:eastAsia="Cambria"/>
              </w:rPr>
            </w:pPr>
            <w:r>
              <w:rPr>
                <w:rFonts w:eastAsia="Cambria"/>
              </w:rPr>
              <w:t>83.82</w:t>
            </w:r>
          </w:p>
        </w:tc>
      </w:tr>
      <w:tr w:rsidR="0047796E" w:rsidTr="004E4A3F">
        <w:tc>
          <w:tcPr>
            <w:tcW w:w="2972" w:type="dxa"/>
            <w:tcBorders>
              <w:top w:val="single" w:sz="4" w:space="0" w:color="auto"/>
              <w:left w:val="single" w:sz="4" w:space="0" w:color="auto"/>
              <w:bottom w:val="single" w:sz="4" w:space="0" w:color="auto"/>
              <w:right w:val="single" w:sz="4" w:space="0" w:color="auto"/>
            </w:tcBorders>
          </w:tcPr>
          <w:p w:rsidR="0047796E" w:rsidRDefault="0047796E" w:rsidP="004E4A3F">
            <w:pPr>
              <w:pStyle w:val="TableofFigures"/>
              <w:rPr>
                <w:rFonts w:eastAsia="Cambria"/>
              </w:rPr>
            </w:pPr>
            <w:r>
              <w:rPr>
                <w:rFonts w:eastAsia="Cambria"/>
              </w:rPr>
              <w:t>Transport (Land and Sea)</w:t>
            </w:r>
          </w:p>
        </w:tc>
        <w:tc>
          <w:tcPr>
            <w:tcW w:w="1559" w:type="dxa"/>
            <w:tcBorders>
              <w:top w:val="single" w:sz="4" w:space="0" w:color="auto"/>
              <w:left w:val="single" w:sz="4" w:space="0" w:color="auto"/>
              <w:bottom w:val="single" w:sz="4" w:space="0" w:color="auto"/>
              <w:right w:val="single" w:sz="4" w:space="0" w:color="auto"/>
            </w:tcBorders>
          </w:tcPr>
          <w:p w:rsidR="0047796E" w:rsidRDefault="0047796E" w:rsidP="00A05200">
            <w:pPr>
              <w:pStyle w:val="TableofFigures"/>
              <w:jc w:val="center"/>
              <w:rPr>
                <w:rFonts w:eastAsia="Cambria"/>
              </w:rPr>
            </w:pPr>
            <w:r>
              <w:rPr>
                <w:rFonts w:eastAsia="Cambria"/>
              </w:rPr>
              <w:t>3</w:t>
            </w:r>
            <w:r w:rsidR="00A05200">
              <w:rPr>
                <w:rFonts w:eastAsia="Cambria"/>
              </w:rPr>
              <w:t>,619.39</w:t>
            </w:r>
          </w:p>
        </w:tc>
        <w:tc>
          <w:tcPr>
            <w:tcW w:w="1560" w:type="dxa"/>
            <w:tcBorders>
              <w:top w:val="single" w:sz="4" w:space="0" w:color="auto"/>
              <w:left w:val="single" w:sz="4" w:space="0" w:color="auto"/>
              <w:bottom w:val="single" w:sz="4" w:space="0" w:color="auto"/>
              <w:right w:val="single" w:sz="4" w:space="0" w:color="auto"/>
            </w:tcBorders>
          </w:tcPr>
          <w:p w:rsidR="0047796E" w:rsidRDefault="0047796E" w:rsidP="004E4A3F">
            <w:pPr>
              <w:pStyle w:val="TableofFigures"/>
              <w:jc w:val="center"/>
              <w:rPr>
                <w:rFonts w:eastAsia="Cambria"/>
              </w:rPr>
            </w:pPr>
            <w:r>
              <w:rPr>
                <w:rFonts w:eastAsia="Cambria"/>
              </w:rPr>
              <w:t>N/A</w:t>
            </w:r>
          </w:p>
        </w:tc>
        <w:tc>
          <w:tcPr>
            <w:tcW w:w="1559" w:type="dxa"/>
            <w:tcBorders>
              <w:top w:val="single" w:sz="4" w:space="0" w:color="auto"/>
              <w:left w:val="single" w:sz="4" w:space="0" w:color="auto"/>
              <w:bottom w:val="single" w:sz="4" w:space="0" w:color="auto"/>
              <w:right w:val="single" w:sz="4" w:space="0" w:color="auto"/>
            </w:tcBorders>
          </w:tcPr>
          <w:p w:rsidR="0047796E" w:rsidRDefault="00A05200" w:rsidP="004E4A3F">
            <w:pPr>
              <w:pStyle w:val="TableofFigures"/>
              <w:jc w:val="center"/>
              <w:rPr>
                <w:rFonts w:eastAsia="Cambria"/>
              </w:rPr>
            </w:pPr>
            <w:r>
              <w:rPr>
                <w:rFonts w:eastAsia="Cambria"/>
              </w:rPr>
              <w:t>922.43</w:t>
            </w:r>
          </w:p>
        </w:tc>
        <w:tc>
          <w:tcPr>
            <w:tcW w:w="1701" w:type="dxa"/>
            <w:tcBorders>
              <w:top w:val="single" w:sz="4" w:space="0" w:color="auto"/>
              <w:left w:val="single" w:sz="4" w:space="0" w:color="auto"/>
              <w:bottom w:val="single" w:sz="4" w:space="0" w:color="auto"/>
              <w:right w:val="single" w:sz="4" w:space="0" w:color="auto"/>
            </w:tcBorders>
          </w:tcPr>
          <w:p w:rsidR="0047796E" w:rsidRDefault="00A05200" w:rsidP="004E4A3F">
            <w:pPr>
              <w:pStyle w:val="TableofFigures"/>
              <w:jc w:val="center"/>
              <w:rPr>
                <w:rFonts w:eastAsia="Cambria"/>
              </w:rPr>
            </w:pPr>
            <w:r>
              <w:rPr>
                <w:rFonts w:eastAsia="Cambria"/>
              </w:rPr>
              <w:t>4,541.82</w:t>
            </w:r>
          </w:p>
        </w:tc>
      </w:tr>
      <w:tr w:rsidR="0047796E" w:rsidTr="004E4A3F">
        <w:tc>
          <w:tcPr>
            <w:tcW w:w="297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Waste</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rPr>
            </w:pPr>
            <w:r>
              <w:rPr>
                <w:rFonts w:eastAsia="Cambria"/>
              </w:rPr>
              <w:t>N/A</w:t>
            </w:r>
          </w:p>
        </w:tc>
        <w:tc>
          <w:tcPr>
            <w:tcW w:w="1560"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rPr>
            </w:pPr>
            <w:r>
              <w:rPr>
                <w:rFonts w:eastAsia="Cambria"/>
              </w:rPr>
              <w:t>N/A</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2,011.20</w:t>
            </w:r>
          </w:p>
        </w:tc>
        <w:tc>
          <w:tcPr>
            <w:tcW w:w="1701"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2,011.20</w:t>
            </w:r>
          </w:p>
        </w:tc>
      </w:tr>
      <w:tr w:rsidR="0047796E" w:rsidTr="004E4A3F">
        <w:tc>
          <w:tcPr>
            <w:tcW w:w="297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Water</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rPr>
            </w:pPr>
            <w:r>
              <w:rPr>
                <w:rFonts w:eastAsia="Cambria"/>
              </w:rPr>
              <w:t>N/A</w:t>
            </w:r>
          </w:p>
        </w:tc>
        <w:tc>
          <w:tcPr>
            <w:tcW w:w="1560"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rPr>
            </w:pPr>
            <w:r>
              <w:rPr>
                <w:rFonts w:eastAsia="Cambria"/>
              </w:rPr>
              <w:t>N/A</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2,468.82</w:t>
            </w:r>
          </w:p>
        </w:tc>
        <w:tc>
          <w:tcPr>
            <w:tcW w:w="1701"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2,468.82</w:t>
            </w:r>
          </w:p>
        </w:tc>
      </w:tr>
      <w:tr w:rsidR="0047796E" w:rsidTr="004E4A3F">
        <w:tc>
          <w:tcPr>
            <w:tcW w:w="297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rPr>
            </w:pPr>
            <w:r>
              <w:rPr>
                <w:rFonts w:eastAsia="Cambria"/>
              </w:rPr>
              <w:t>Working from home</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rPr>
            </w:pPr>
            <w:r>
              <w:rPr>
                <w:rFonts w:eastAsia="Cambria"/>
              </w:rPr>
              <w:t>N/A</w:t>
            </w:r>
          </w:p>
        </w:tc>
        <w:tc>
          <w:tcPr>
            <w:tcW w:w="1560"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jc w:val="center"/>
              <w:rPr>
                <w:rFonts w:eastAsia="Cambria"/>
              </w:rPr>
            </w:pPr>
            <w:r>
              <w:rPr>
                <w:rFonts w:eastAsia="Cambria"/>
              </w:rPr>
              <w:t>N/A</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795.63</w:t>
            </w:r>
          </w:p>
        </w:tc>
        <w:tc>
          <w:tcPr>
            <w:tcW w:w="1701"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rPr>
            </w:pPr>
            <w:r>
              <w:rPr>
                <w:rFonts w:eastAsia="Cambria"/>
              </w:rPr>
              <w:t>795.63</w:t>
            </w:r>
          </w:p>
        </w:tc>
      </w:tr>
      <w:tr w:rsidR="00A05200" w:rsidTr="004E4A3F">
        <w:tc>
          <w:tcPr>
            <w:tcW w:w="2972" w:type="dxa"/>
            <w:tcBorders>
              <w:top w:val="single" w:sz="4" w:space="0" w:color="auto"/>
              <w:left w:val="single" w:sz="4" w:space="0" w:color="auto"/>
              <w:bottom w:val="single" w:sz="4" w:space="0" w:color="auto"/>
              <w:right w:val="single" w:sz="4" w:space="0" w:color="auto"/>
            </w:tcBorders>
          </w:tcPr>
          <w:p w:rsidR="00A05200" w:rsidRDefault="00A05200" w:rsidP="004E4A3F">
            <w:pPr>
              <w:pStyle w:val="TableofFigures"/>
              <w:rPr>
                <w:rFonts w:eastAsia="Cambria"/>
              </w:rPr>
            </w:pPr>
            <w:r>
              <w:rPr>
                <w:rFonts w:eastAsia="Cambria"/>
              </w:rPr>
              <w:t>Office equipment and supplies</w:t>
            </w:r>
          </w:p>
        </w:tc>
        <w:tc>
          <w:tcPr>
            <w:tcW w:w="1559" w:type="dxa"/>
            <w:tcBorders>
              <w:top w:val="single" w:sz="4" w:space="0" w:color="auto"/>
              <w:left w:val="single" w:sz="4" w:space="0" w:color="auto"/>
              <w:bottom w:val="single" w:sz="4" w:space="0" w:color="auto"/>
              <w:right w:val="single" w:sz="4" w:space="0" w:color="auto"/>
            </w:tcBorders>
          </w:tcPr>
          <w:p w:rsidR="00A05200" w:rsidRDefault="00A05200" w:rsidP="004E4A3F">
            <w:pPr>
              <w:pStyle w:val="TableofFigures"/>
              <w:jc w:val="center"/>
              <w:rPr>
                <w:rFonts w:eastAsia="Cambria"/>
              </w:rPr>
            </w:pPr>
            <w:r>
              <w:rPr>
                <w:rFonts w:eastAsia="Cambria"/>
              </w:rPr>
              <w:t>N/A</w:t>
            </w:r>
          </w:p>
        </w:tc>
        <w:tc>
          <w:tcPr>
            <w:tcW w:w="1560" w:type="dxa"/>
            <w:tcBorders>
              <w:top w:val="single" w:sz="4" w:space="0" w:color="auto"/>
              <w:left w:val="single" w:sz="4" w:space="0" w:color="auto"/>
              <w:bottom w:val="single" w:sz="4" w:space="0" w:color="auto"/>
              <w:right w:val="single" w:sz="4" w:space="0" w:color="auto"/>
            </w:tcBorders>
          </w:tcPr>
          <w:p w:rsidR="00A05200" w:rsidRDefault="00A05200" w:rsidP="004E4A3F">
            <w:pPr>
              <w:pStyle w:val="TableofFigures"/>
              <w:jc w:val="center"/>
              <w:rPr>
                <w:rFonts w:eastAsia="Cambria"/>
              </w:rPr>
            </w:pPr>
            <w:r>
              <w:rPr>
                <w:rFonts w:eastAsia="Cambria"/>
              </w:rPr>
              <w:t>N/A</w:t>
            </w:r>
          </w:p>
        </w:tc>
        <w:tc>
          <w:tcPr>
            <w:tcW w:w="1559" w:type="dxa"/>
            <w:tcBorders>
              <w:top w:val="single" w:sz="4" w:space="0" w:color="auto"/>
              <w:left w:val="single" w:sz="4" w:space="0" w:color="auto"/>
              <w:bottom w:val="single" w:sz="4" w:space="0" w:color="auto"/>
              <w:right w:val="single" w:sz="4" w:space="0" w:color="auto"/>
            </w:tcBorders>
          </w:tcPr>
          <w:p w:rsidR="00A05200" w:rsidRDefault="00A05200" w:rsidP="004E4A3F">
            <w:pPr>
              <w:pStyle w:val="TableofFigures"/>
              <w:jc w:val="center"/>
              <w:rPr>
                <w:rFonts w:eastAsia="Cambria"/>
              </w:rPr>
            </w:pPr>
            <w:r>
              <w:rPr>
                <w:rFonts w:eastAsia="Cambria"/>
              </w:rPr>
              <w:t>35.74</w:t>
            </w:r>
          </w:p>
        </w:tc>
        <w:tc>
          <w:tcPr>
            <w:tcW w:w="1701" w:type="dxa"/>
            <w:tcBorders>
              <w:top w:val="single" w:sz="4" w:space="0" w:color="auto"/>
              <w:left w:val="single" w:sz="4" w:space="0" w:color="auto"/>
              <w:bottom w:val="single" w:sz="4" w:space="0" w:color="auto"/>
              <w:right w:val="single" w:sz="4" w:space="0" w:color="auto"/>
            </w:tcBorders>
          </w:tcPr>
          <w:p w:rsidR="00A05200" w:rsidRDefault="00A05200" w:rsidP="004E4A3F">
            <w:pPr>
              <w:pStyle w:val="TableofFigures"/>
              <w:jc w:val="center"/>
              <w:rPr>
                <w:rFonts w:eastAsia="Cambria"/>
              </w:rPr>
            </w:pPr>
            <w:r>
              <w:rPr>
                <w:rFonts w:eastAsia="Cambria"/>
              </w:rPr>
              <w:t>35.74</w:t>
            </w:r>
          </w:p>
        </w:tc>
      </w:tr>
      <w:tr w:rsidR="0047796E" w:rsidTr="004E4A3F">
        <w:tc>
          <w:tcPr>
            <w:tcW w:w="2972" w:type="dxa"/>
            <w:tcBorders>
              <w:top w:val="single" w:sz="4" w:space="0" w:color="auto"/>
              <w:left w:val="single" w:sz="4" w:space="0" w:color="auto"/>
              <w:bottom w:val="single" w:sz="4" w:space="0" w:color="auto"/>
              <w:right w:val="single" w:sz="4" w:space="0" w:color="auto"/>
            </w:tcBorders>
            <w:hideMark/>
          </w:tcPr>
          <w:p w:rsidR="0047796E" w:rsidRDefault="0047796E" w:rsidP="004E4A3F">
            <w:pPr>
              <w:pStyle w:val="TableofFigures"/>
              <w:rPr>
                <w:rFonts w:eastAsia="Cambria"/>
                <w:b/>
              </w:rPr>
            </w:pPr>
            <w:r>
              <w:rPr>
                <w:rFonts w:eastAsia="Cambria"/>
                <w:b/>
              </w:rPr>
              <w:t>Total</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47796E" w:rsidP="00A05200">
            <w:pPr>
              <w:pStyle w:val="TableofFigures"/>
              <w:jc w:val="center"/>
              <w:rPr>
                <w:rFonts w:eastAsia="Cambria"/>
                <w:b/>
              </w:rPr>
            </w:pPr>
            <w:r>
              <w:rPr>
                <w:rFonts w:eastAsia="Cambria"/>
                <w:b/>
              </w:rPr>
              <w:t>4,8</w:t>
            </w:r>
            <w:r w:rsidR="00A05200">
              <w:rPr>
                <w:rFonts w:eastAsia="Cambria"/>
                <w:b/>
              </w:rPr>
              <w:t>14.50</w:t>
            </w:r>
          </w:p>
        </w:tc>
        <w:tc>
          <w:tcPr>
            <w:tcW w:w="1560"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b/>
              </w:rPr>
            </w:pPr>
            <w:r>
              <w:rPr>
                <w:rFonts w:eastAsia="Cambria"/>
                <w:b/>
              </w:rPr>
              <w:t>267.95</w:t>
            </w:r>
          </w:p>
        </w:tc>
        <w:tc>
          <w:tcPr>
            <w:tcW w:w="1559"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b/>
              </w:rPr>
            </w:pPr>
            <w:r>
              <w:rPr>
                <w:rFonts w:eastAsia="Cambria"/>
                <w:b/>
              </w:rPr>
              <w:t>6,501.00</w:t>
            </w:r>
          </w:p>
        </w:tc>
        <w:tc>
          <w:tcPr>
            <w:tcW w:w="1701" w:type="dxa"/>
            <w:tcBorders>
              <w:top w:val="single" w:sz="4" w:space="0" w:color="auto"/>
              <w:left w:val="single" w:sz="4" w:space="0" w:color="auto"/>
              <w:bottom w:val="single" w:sz="4" w:space="0" w:color="auto"/>
              <w:right w:val="single" w:sz="4" w:space="0" w:color="auto"/>
            </w:tcBorders>
            <w:hideMark/>
          </w:tcPr>
          <w:p w:rsidR="0047796E" w:rsidRDefault="00A05200" w:rsidP="004E4A3F">
            <w:pPr>
              <w:pStyle w:val="TableofFigures"/>
              <w:jc w:val="center"/>
              <w:rPr>
                <w:rFonts w:eastAsia="Cambria"/>
                <w:b/>
              </w:rPr>
            </w:pPr>
            <w:r>
              <w:rPr>
                <w:rFonts w:eastAsia="Cambria"/>
                <w:b/>
              </w:rPr>
              <w:t>11,583.46</w:t>
            </w:r>
          </w:p>
        </w:tc>
      </w:tr>
    </w:tbl>
    <w:p w:rsidR="00A05200" w:rsidRDefault="00A05200" w:rsidP="00A05200">
      <w:pPr>
        <w:pStyle w:val="Heading2"/>
        <w:rPr>
          <w:rFonts w:hint="eastAsia"/>
        </w:rPr>
      </w:pPr>
      <w:bookmarkStart w:id="39" w:name="_Toc88829974"/>
      <w:bookmarkStart w:id="40" w:name="_Toc88562257"/>
      <w:bookmarkStart w:id="41" w:name="_Toc158887361"/>
      <w:r>
        <w:t>Uplift factors</w:t>
      </w:r>
      <w:bookmarkEnd w:id="39"/>
      <w:bookmarkEnd w:id="40"/>
      <w:bookmarkEnd w:id="41"/>
    </w:p>
    <w:p w:rsidR="00A05200" w:rsidRDefault="00A05200" w:rsidP="00A05200">
      <w:r>
        <w:t>An uplift factor is an upwards adjustment to the total carbon inventory to account for relevant emissions that cannot be reasonably quantified or estimated. This conservative accounting approach helps ensure the integrity of the carbon neutral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642"/>
        <w:gridCol w:w="1127"/>
      </w:tblGrid>
      <w:tr w:rsidR="00A05200" w:rsidTr="004E4A3F">
        <w:tc>
          <w:tcPr>
            <w:tcW w:w="8642" w:type="dxa"/>
            <w:tcBorders>
              <w:top w:val="single" w:sz="4" w:space="0" w:color="auto"/>
              <w:left w:val="single" w:sz="4" w:space="0" w:color="auto"/>
              <w:bottom w:val="single" w:sz="4" w:space="0" w:color="auto"/>
              <w:right w:val="single" w:sz="4" w:space="0" w:color="auto"/>
            </w:tcBorders>
            <w:hideMark/>
          </w:tcPr>
          <w:p w:rsidR="00A05200" w:rsidRDefault="00A05200" w:rsidP="004E4A3F">
            <w:pPr>
              <w:pStyle w:val="TableofFigures"/>
              <w:rPr>
                <w:rFonts w:eastAsia="Cambria"/>
                <w:b/>
              </w:rPr>
            </w:pPr>
            <w:r>
              <w:rPr>
                <w:rFonts w:eastAsia="Cambria"/>
                <w:b/>
              </w:rPr>
              <w:t>Reason for uplift factor</w:t>
            </w:r>
          </w:p>
        </w:tc>
        <w:tc>
          <w:tcPr>
            <w:tcW w:w="1127" w:type="dxa"/>
            <w:tcBorders>
              <w:top w:val="single" w:sz="4" w:space="0" w:color="auto"/>
              <w:left w:val="single" w:sz="4" w:space="0" w:color="auto"/>
              <w:bottom w:val="single" w:sz="4" w:space="0" w:color="auto"/>
              <w:right w:val="single" w:sz="4" w:space="0" w:color="auto"/>
            </w:tcBorders>
            <w:hideMark/>
          </w:tcPr>
          <w:p w:rsidR="00A05200" w:rsidRDefault="00A05200" w:rsidP="00235B6A">
            <w:pPr>
              <w:pStyle w:val="TableofFigures"/>
              <w:jc w:val="center"/>
              <w:rPr>
                <w:rFonts w:eastAsia="Cambria"/>
                <w:b/>
              </w:rPr>
            </w:pPr>
            <w:r>
              <w:rPr>
                <w:rFonts w:eastAsia="Cambria"/>
                <w:b/>
              </w:rPr>
              <w:t>tCO</w:t>
            </w:r>
            <w:r>
              <w:rPr>
                <w:rFonts w:eastAsia="Cambria"/>
                <w:b/>
                <w:vertAlign w:val="subscript"/>
              </w:rPr>
              <w:t>2</w:t>
            </w:r>
            <w:r>
              <w:rPr>
                <w:rFonts w:eastAsia="Cambria"/>
                <w:b/>
              </w:rPr>
              <w:t>e</w:t>
            </w:r>
          </w:p>
        </w:tc>
      </w:tr>
      <w:tr w:rsidR="00A05200" w:rsidTr="004E4A3F">
        <w:tc>
          <w:tcPr>
            <w:tcW w:w="8642" w:type="dxa"/>
            <w:tcBorders>
              <w:top w:val="single" w:sz="4" w:space="0" w:color="auto"/>
              <w:left w:val="single" w:sz="4" w:space="0" w:color="auto"/>
              <w:bottom w:val="single" w:sz="4" w:space="0" w:color="auto"/>
              <w:right w:val="single" w:sz="4" w:space="0" w:color="auto"/>
            </w:tcBorders>
            <w:hideMark/>
          </w:tcPr>
          <w:p w:rsidR="00A05200" w:rsidRDefault="00A05200" w:rsidP="004E4A3F">
            <w:pPr>
              <w:pStyle w:val="TableofFigures"/>
              <w:rPr>
                <w:rFonts w:eastAsia="Cambria"/>
              </w:rPr>
            </w:pPr>
            <w:r>
              <w:rPr>
                <w:rFonts w:eastAsia="Cambria"/>
              </w:rPr>
              <w:t>Uplift to account for non-quantified sources where data is unavailable or where data collection is not cost effective.</w:t>
            </w:r>
          </w:p>
        </w:tc>
        <w:tc>
          <w:tcPr>
            <w:tcW w:w="1127" w:type="dxa"/>
            <w:tcBorders>
              <w:top w:val="single" w:sz="4" w:space="0" w:color="auto"/>
              <w:left w:val="single" w:sz="4" w:space="0" w:color="auto"/>
              <w:bottom w:val="single" w:sz="4" w:space="0" w:color="auto"/>
              <w:right w:val="single" w:sz="4" w:space="0" w:color="auto"/>
            </w:tcBorders>
            <w:hideMark/>
          </w:tcPr>
          <w:p w:rsidR="00A05200" w:rsidRDefault="00A05200" w:rsidP="004E4A3F">
            <w:pPr>
              <w:pStyle w:val="TableofFigures"/>
              <w:jc w:val="right"/>
              <w:rPr>
                <w:rFonts w:eastAsia="Cambria"/>
              </w:rPr>
            </w:pPr>
            <w:r>
              <w:rPr>
                <w:rFonts w:eastAsia="Cambria"/>
              </w:rPr>
              <w:t>579.2</w:t>
            </w:r>
          </w:p>
        </w:tc>
      </w:tr>
      <w:tr w:rsidR="00A05200" w:rsidTr="004E4A3F">
        <w:tc>
          <w:tcPr>
            <w:tcW w:w="8642" w:type="dxa"/>
            <w:tcBorders>
              <w:top w:val="single" w:sz="4" w:space="0" w:color="auto"/>
              <w:left w:val="single" w:sz="4" w:space="0" w:color="auto"/>
              <w:bottom w:val="single" w:sz="4" w:space="0" w:color="auto"/>
              <w:right w:val="single" w:sz="4" w:space="0" w:color="auto"/>
            </w:tcBorders>
            <w:hideMark/>
          </w:tcPr>
          <w:p w:rsidR="00A05200" w:rsidRDefault="00A05200" w:rsidP="004E4A3F">
            <w:pPr>
              <w:pStyle w:val="TableofFigures"/>
              <w:jc w:val="right"/>
              <w:rPr>
                <w:rFonts w:eastAsia="Cambria"/>
              </w:rPr>
            </w:pPr>
            <w:r>
              <w:rPr>
                <w:rFonts w:eastAsia="Cambria"/>
              </w:rPr>
              <w:t>Total footprint to offset (uplift factors + net emissions)</w:t>
            </w:r>
          </w:p>
        </w:tc>
        <w:tc>
          <w:tcPr>
            <w:tcW w:w="1127" w:type="dxa"/>
            <w:tcBorders>
              <w:top w:val="single" w:sz="4" w:space="0" w:color="auto"/>
              <w:left w:val="single" w:sz="4" w:space="0" w:color="auto"/>
              <w:bottom w:val="single" w:sz="4" w:space="0" w:color="auto"/>
              <w:right w:val="single" w:sz="4" w:space="0" w:color="auto"/>
            </w:tcBorders>
            <w:hideMark/>
          </w:tcPr>
          <w:p w:rsidR="00A05200" w:rsidRDefault="00A05200" w:rsidP="004E4A3F">
            <w:pPr>
              <w:pStyle w:val="TableofFigures"/>
              <w:jc w:val="right"/>
              <w:rPr>
                <w:rFonts w:eastAsia="Cambria"/>
              </w:rPr>
            </w:pPr>
            <w:r>
              <w:rPr>
                <w:rFonts w:eastAsia="Cambria"/>
              </w:rPr>
              <w:t>12,163</w:t>
            </w:r>
          </w:p>
        </w:tc>
      </w:tr>
    </w:tbl>
    <w:p w:rsidR="00A05200" w:rsidRDefault="00A05200" w:rsidP="00A05200">
      <w:pPr>
        <w:pStyle w:val="Heading1"/>
        <w:rPr>
          <w:rFonts w:hint="eastAsia"/>
        </w:rPr>
      </w:pPr>
      <w:bookmarkStart w:id="42" w:name="_Toc88829975"/>
      <w:bookmarkStart w:id="43" w:name="_Toc158887362"/>
      <w:r>
        <w:lastRenderedPageBreak/>
        <w:t>6. Carbon Offsets</w:t>
      </w:r>
      <w:bookmarkEnd w:id="42"/>
      <w:bookmarkEnd w:id="43"/>
    </w:p>
    <w:p w:rsidR="00703ED4" w:rsidRPr="00703ED4" w:rsidRDefault="00703ED4" w:rsidP="00703ED4">
      <w:pPr>
        <w:pStyle w:val="Heading2"/>
        <w:rPr>
          <w:rFonts w:hint="eastAsia"/>
        </w:rPr>
      </w:pPr>
      <w:bookmarkStart w:id="44" w:name="_Toc158887363"/>
      <w:r w:rsidRPr="00703ED4">
        <w:t>Offsets retirement approach</w:t>
      </w:r>
      <w:bookmarkEnd w:id="44"/>
    </w:p>
    <w:p w:rsidR="00703ED4" w:rsidRDefault="00703ED4" w:rsidP="00703ED4">
      <w:pPr>
        <w:rPr>
          <w:lang w:val="en-US"/>
        </w:rPr>
      </w:pPr>
      <w:r w:rsidRPr="00703ED4">
        <w:rPr>
          <w:lang w:val="en-US"/>
        </w:rPr>
        <w:t>This certification has taken an in-arrears offsetting approach. The total emis</w:t>
      </w:r>
      <w:r>
        <w:rPr>
          <w:lang w:val="en-US"/>
        </w:rPr>
        <w:t>sion to offset is 12,175 t CO2-</w:t>
      </w:r>
      <w:r w:rsidRPr="00703ED4">
        <w:rPr>
          <w:lang w:val="en-US"/>
        </w:rPr>
        <w:t>e.</w:t>
      </w:r>
      <w:r>
        <w:rPr>
          <w:lang w:val="en-US"/>
        </w:rPr>
        <w:t xml:space="preserve"> </w:t>
      </w:r>
      <w:r w:rsidRPr="00703ED4">
        <w:rPr>
          <w:lang w:val="en-US"/>
        </w:rPr>
        <w:t>The total number of eligible offsets used in this report is 12,163. Of the</w:t>
      </w:r>
      <w:r>
        <w:rPr>
          <w:lang w:val="en-US"/>
        </w:rPr>
        <w:t xml:space="preserve"> total eligible offsets used, 0 </w:t>
      </w:r>
      <w:r w:rsidRPr="00703ED4">
        <w:rPr>
          <w:lang w:val="en-US"/>
        </w:rPr>
        <w:t>were previously banked and 12,175 were newly purchased and retired. 12 are remaining and have been</w:t>
      </w:r>
      <w:r>
        <w:rPr>
          <w:lang w:val="en-US"/>
        </w:rPr>
        <w:t xml:space="preserve"> banked for future use.</w:t>
      </w:r>
    </w:p>
    <w:p w:rsidR="0047796E" w:rsidRDefault="00703ED4" w:rsidP="004603A7">
      <w:pPr>
        <w:pStyle w:val="Heading2"/>
        <w:rPr>
          <w:rFonts w:hint="eastAsia"/>
        </w:rPr>
      </w:pPr>
      <w:bookmarkStart w:id="45" w:name="_Toc158887364"/>
      <w:r w:rsidRPr="00703ED4">
        <w:t>Co-benefits</w:t>
      </w:r>
      <w:bookmarkEnd w:id="45"/>
    </w:p>
    <w:p w:rsidR="004603A7" w:rsidRDefault="004603A7" w:rsidP="004603A7">
      <w:pPr>
        <w:pStyle w:val="Heading3"/>
        <w:rPr>
          <w:rFonts w:hint="eastAsia"/>
        </w:rPr>
      </w:pPr>
      <w:bookmarkStart w:id="46" w:name="_Toc158887365"/>
      <w:r w:rsidRPr="004603A7">
        <w:t>Offset projects and co-benefits</w:t>
      </w:r>
      <w:bookmarkEnd w:id="46"/>
    </w:p>
    <w:p w:rsidR="004603A7" w:rsidRDefault="004603A7" w:rsidP="004603A7">
      <w:r w:rsidRPr="004603A7">
        <w:rPr>
          <w:b/>
          <w:lang w:val="en-US"/>
        </w:rPr>
        <w:t xml:space="preserve">Project: </w:t>
      </w:r>
      <w:r w:rsidRPr="004603A7">
        <w:rPr>
          <w:b/>
        </w:rPr>
        <w:t>Grouped Hydropower Plants in Chongqing, Yunnan, Sichuan and Guizhou Provinces, P.R.</w:t>
      </w:r>
    </w:p>
    <w:p w:rsidR="004603A7" w:rsidRDefault="004603A7" w:rsidP="004603A7">
      <w:pPr>
        <w:pStyle w:val="ListBullet"/>
      </w:pPr>
      <w:r w:rsidRPr="0056786B">
        <w:rPr>
          <w:b/>
        </w:rPr>
        <w:t>Offsets (tCO</w:t>
      </w:r>
      <w:r w:rsidRPr="00235B6A">
        <w:rPr>
          <w:rFonts w:ascii="Arial Bold" w:hAnsi="Arial Bold"/>
          <w:b/>
          <w:vertAlign w:val="subscript"/>
        </w:rPr>
        <w:t>2</w:t>
      </w:r>
      <w:r w:rsidRPr="0056786B">
        <w:rPr>
          <w:b/>
        </w:rPr>
        <w:t>e):</w:t>
      </w:r>
      <w:r>
        <w:t xml:space="preserve"> 7,546</w:t>
      </w:r>
    </w:p>
    <w:p w:rsidR="004603A7" w:rsidRPr="00B63389" w:rsidRDefault="004603A7" w:rsidP="004603A7">
      <w:pPr>
        <w:pStyle w:val="ListBullet"/>
      </w:pPr>
      <w:r w:rsidRPr="0056786B">
        <w:rPr>
          <w:b/>
        </w:rPr>
        <w:t>% of CoM inventory:</w:t>
      </w:r>
      <w:r>
        <w:t xml:space="preserve"> 62</w:t>
      </w:r>
      <w:r w:rsidRPr="00B63389">
        <w:t>%</w:t>
      </w:r>
    </w:p>
    <w:p w:rsidR="004603A7" w:rsidRDefault="004603A7" w:rsidP="004603A7">
      <w:r>
        <w:t>This project consists of multiple small-scale hydropower plants that generate renewable energy for rural Southwest and South Central China. By supplying clean hydroelectric power to the local grid, the project displaces greenhouse gas emissions, helping mitigate climate change. The project helps to improve the livelihoods of people living in remote and sometimes isolated communities through funding a number of initiatives, including a social fund and sustainable agricultural workshops.</w:t>
      </w:r>
    </w:p>
    <w:p w:rsidR="004603A7" w:rsidRDefault="004603A7" w:rsidP="004603A7">
      <w:r>
        <w:t>The project contributes to the following United Nations Sustainability Goals:</w:t>
      </w:r>
    </w:p>
    <w:p w:rsidR="004603A7" w:rsidRPr="00B63389" w:rsidRDefault="004603A7" w:rsidP="004603A7">
      <w:pPr>
        <w:pStyle w:val="ListBullet"/>
      </w:pPr>
      <w:r w:rsidRPr="00B63389">
        <w:t>4: Quality Education</w:t>
      </w:r>
    </w:p>
    <w:p w:rsidR="004603A7" w:rsidRPr="00B63389" w:rsidRDefault="004603A7" w:rsidP="004603A7">
      <w:pPr>
        <w:pStyle w:val="ListBullet"/>
      </w:pPr>
      <w:r w:rsidRPr="00B63389">
        <w:t>5: Gender Equality</w:t>
      </w:r>
    </w:p>
    <w:p w:rsidR="004603A7" w:rsidRPr="00B63389" w:rsidRDefault="004603A7" w:rsidP="004603A7">
      <w:pPr>
        <w:pStyle w:val="ListBullet"/>
      </w:pPr>
      <w:r w:rsidRPr="00B63389">
        <w:t>7: Affordable and Clean Energy</w:t>
      </w:r>
    </w:p>
    <w:p w:rsidR="004603A7" w:rsidRPr="00B63389" w:rsidRDefault="004603A7" w:rsidP="004603A7">
      <w:pPr>
        <w:pStyle w:val="ListBullet"/>
      </w:pPr>
      <w:r w:rsidRPr="00B63389">
        <w:t>8: Decent Work and Economic Growth</w:t>
      </w:r>
    </w:p>
    <w:p w:rsidR="004603A7" w:rsidRPr="00B63389" w:rsidRDefault="004603A7" w:rsidP="004603A7">
      <w:pPr>
        <w:pStyle w:val="ListBullet"/>
        <w:spacing w:after="240"/>
      </w:pPr>
      <w:r w:rsidRPr="00B63389">
        <w:t>13: Climate Action</w:t>
      </w:r>
    </w:p>
    <w:p w:rsidR="004603A7" w:rsidRDefault="004603A7" w:rsidP="004603A7">
      <w:pPr>
        <w:rPr>
          <w:b/>
        </w:rPr>
      </w:pPr>
      <w:r>
        <w:rPr>
          <w:b/>
        </w:rPr>
        <w:t xml:space="preserve">Project: </w:t>
      </w:r>
      <w:r w:rsidRPr="004603A7">
        <w:rPr>
          <w:b/>
        </w:rPr>
        <w:t>EcoAustralia - Everbright Suzhou LFG (2013) Gold</w:t>
      </w:r>
      <w:r>
        <w:rPr>
          <w:b/>
        </w:rPr>
        <w:t xml:space="preserve"> </w:t>
      </w:r>
      <w:r w:rsidRPr="004603A7">
        <w:rPr>
          <w:b/>
        </w:rPr>
        <w:t>Standard project</w:t>
      </w:r>
      <w:r>
        <w:rPr>
          <w:b/>
        </w:rPr>
        <w:t xml:space="preserve"> (</w:t>
      </w:r>
      <w:r w:rsidRPr="004603A7">
        <w:rPr>
          <w:b/>
        </w:rPr>
        <w:t xml:space="preserve">Units </w:t>
      </w:r>
      <w:r>
        <w:rPr>
          <w:b/>
        </w:rPr>
        <w:t>stapled with Biodiversity units)</w:t>
      </w:r>
    </w:p>
    <w:p w:rsidR="004603A7" w:rsidRDefault="004603A7" w:rsidP="004603A7">
      <w:pPr>
        <w:pStyle w:val="ListBullet"/>
      </w:pPr>
      <w:r w:rsidRPr="0056786B">
        <w:rPr>
          <w:b/>
        </w:rPr>
        <w:t>Offsets (tCO</w:t>
      </w:r>
      <w:r w:rsidRPr="00235B6A">
        <w:rPr>
          <w:rFonts w:ascii="Arial Bold" w:hAnsi="Arial Bold"/>
          <w:b/>
          <w:vertAlign w:val="subscript"/>
        </w:rPr>
        <w:t>2</w:t>
      </w:r>
      <w:r w:rsidRPr="0056786B">
        <w:rPr>
          <w:b/>
        </w:rPr>
        <w:t>e):</w:t>
      </w:r>
      <w:r>
        <w:t xml:space="preserve"> 4,629</w:t>
      </w:r>
    </w:p>
    <w:p w:rsidR="004603A7" w:rsidRPr="00B63389" w:rsidRDefault="004603A7" w:rsidP="004603A7">
      <w:pPr>
        <w:pStyle w:val="ListBullet"/>
      </w:pPr>
      <w:r w:rsidRPr="0056786B">
        <w:rPr>
          <w:b/>
        </w:rPr>
        <w:t>% of CoM inventory:</w:t>
      </w:r>
      <w:r>
        <w:t xml:space="preserve"> 38</w:t>
      </w:r>
      <w:r w:rsidRPr="00B63389">
        <w:t>%</w:t>
      </w:r>
    </w:p>
    <w:p w:rsidR="004603A7" w:rsidRDefault="004603A7" w:rsidP="004603A7">
      <w:r w:rsidRPr="004603A7">
        <w:t>Over 80% of China’s electricity supply comes from coal-based power plants. China’s growing cities and economies</w:t>
      </w:r>
      <w:r>
        <w:t xml:space="preserve"> </w:t>
      </w:r>
      <w:r w:rsidRPr="004603A7">
        <w:t>make the supply of energy and goods a logistical challenge – along with its disposal and the implications</w:t>
      </w:r>
      <w:r>
        <w:t xml:space="preserve"> </w:t>
      </w:r>
      <w:r w:rsidRPr="004603A7">
        <w:t>of growing</w:t>
      </w:r>
      <w:r>
        <w:t xml:space="preserve"> </w:t>
      </w:r>
      <w:r w:rsidRPr="004603A7">
        <w:t>waste streams. This project captures methane emissions from a landfill site and uses them to generate power,</w:t>
      </w:r>
      <w:r>
        <w:t xml:space="preserve"> </w:t>
      </w:r>
      <w:r w:rsidRPr="004603A7">
        <w:t>contributing to su</w:t>
      </w:r>
      <w:r>
        <w:t>stainable development in China.</w:t>
      </w:r>
    </w:p>
    <w:p w:rsidR="004603A7" w:rsidRDefault="004603A7" w:rsidP="004603A7">
      <w:r>
        <w:t>The project contributes to the following United Nations Sustainability Goals:</w:t>
      </w:r>
    </w:p>
    <w:p w:rsidR="004603A7" w:rsidRPr="00B63389" w:rsidRDefault="004603A7" w:rsidP="004603A7">
      <w:pPr>
        <w:pStyle w:val="ListBullet"/>
      </w:pPr>
      <w:r w:rsidRPr="00B63389">
        <w:t>7: Affordable and Clean Energy</w:t>
      </w:r>
    </w:p>
    <w:p w:rsidR="004603A7" w:rsidRDefault="004603A7" w:rsidP="004603A7">
      <w:pPr>
        <w:pStyle w:val="ListBullet"/>
      </w:pPr>
      <w:r w:rsidRPr="00B63389">
        <w:t>8: Decent Work and Economic Growth</w:t>
      </w:r>
    </w:p>
    <w:p w:rsidR="004603A7" w:rsidRPr="00B63389" w:rsidRDefault="004603A7" w:rsidP="004603A7">
      <w:pPr>
        <w:pStyle w:val="ListBullet"/>
      </w:pPr>
      <w:r>
        <w:t xml:space="preserve">12: </w:t>
      </w:r>
      <w:r w:rsidR="00C50638">
        <w:t>Responsible Consumption and Production</w:t>
      </w:r>
    </w:p>
    <w:p w:rsidR="004603A7" w:rsidRDefault="004603A7" w:rsidP="004603A7">
      <w:pPr>
        <w:pStyle w:val="ListBullet"/>
        <w:spacing w:after="240"/>
      </w:pPr>
      <w:r w:rsidRPr="00B63389">
        <w:t>13: Climate Action</w:t>
      </w:r>
    </w:p>
    <w:p w:rsidR="00C50638" w:rsidRDefault="00C50638" w:rsidP="00C50638">
      <w:pPr>
        <w:pStyle w:val="ListBullet"/>
        <w:numPr>
          <w:ilvl w:val="0"/>
          <w:numId w:val="0"/>
        </w:numPr>
        <w:spacing w:after="240"/>
        <w:ind w:left="357" w:hanging="357"/>
        <w:rPr>
          <w:b/>
        </w:rPr>
      </w:pPr>
      <w:r>
        <w:rPr>
          <w:b/>
        </w:rPr>
        <w:t>Project:</w:t>
      </w:r>
      <w:r w:rsidRPr="00C50638">
        <w:t xml:space="preserve"> </w:t>
      </w:r>
      <w:r w:rsidRPr="00C50638">
        <w:rPr>
          <w:b/>
        </w:rPr>
        <w:t>EcoAustralia - Mount Sandy Biodiversity protection (ABU)</w:t>
      </w:r>
    </w:p>
    <w:p w:rsidR="00C50638" w:rsidRDefault="00C50638" w:rsidP="00C50638">
      <w:pPr>
        <w:pStyle w:val="ListBullet"/>
      </w:pPr>
      <w:r w:rsidRPr="0056786B">
        <w:rPr>
          <w:b/>
        </w:rPr>
        <w:lastRenderedPageBreak/>
        <w:t>Offsets (tCO</w:t>
      </w:r>
      <w:r w:rsidRPr="00235B6A">
        <w:rPr>
          <w:rFonts w:ascii="Arial Bold" w:hAnsi="Arial Bold"/>
          <w:b/>
          <w:vertAlign w:val="subscript"/>
        </w:rPr>
        <w:t>2</w:t>
      </w:r>
      <w:r w:rsidRPr="0056786B">
        <w:rPr>
          <w:b/>
        </w:rPr>
        <w:t>e):</w:t>
      </w:r>
      <w:r>
        <w:t xml:space="preserve"> 1,200</w:t>
      </w:r>
    </w:p>
    <w:p w:rsidR="00C50638" w:rsidRDefault="00C50638" w:rsidP="00C50638">
      <w:pPr>
        <w:pStyle w:val="ListBullet"/>
      </w:pPr>
      <w:r w:rsidRPr="0056786B">
        <w:rPr>
          <w:b/>
        </w:rPr>
        <w:t>% of CoM inventory:</w:t>
      </w:r>
      <w:r>
        <w:t xml:space="preserve"> N/A</w:t>
      </w:r>
    </w:p>
    <w:p w:rsidR="00C50638" w:rsidRDefault="00C50638" w:rsidP="00C50638">
      <w:r>
        <w:t>The Mount Sandy project ensures permanent protection for a regionally and culturally important pocket of biodiversity-rich land in partnership with its Traditional Owners. Local birds, animals and plants flourish undisturbed, while native plants for revegetation will be supplied by the local nursery at Raukkan Aboriginal Community, a self-governed Indigenous community 50 kilometres northwest of the project site.</w:t>
      </w:r>
    </w:p>
    <w:p w:rsidR="00C50638" w:rsidRDefault="00C50638" w:rsidP="00C50638">
      <w:r>
        <w:t>The project contributes to the following United Nations Sustainability Goals:</w:t>
      </w:r>
    </w:p>
    <w:p w:rsidR="00C50638" w:rsidRDefault="00C50638" w:rsidP="00C50638">
      <w:pPr>
        <w:pStyle w:val="ListBullet"/>
      </w:pPr>
      <w:r w:rsidRPr="00B63389">
        <w:t>8: Decent Work and Economic Growth</w:t>
      </w:r>
    </w:p>
    <w:p w:rsidR="00C50638" w:rsidRDefault="00C50638" w:rsidP="00C50638">
      <w:pPr>
        <w:pStyle w:val="ListBullet"/>
        <w:spacing w:after="240"/>
      </w:pPr>
      <w:r w:rsidRPr="00B63389">
        <w:t>13: Climate Action</w:t>
      </w:r>
    </w:p>
    <w:p w:rsidR="00C50638" w:rsidRDefault="00C50638" w:rsidP="00C50638">
      <w:pPr>
        <w:pStyle w:val="ListBullet"/>
        <w:spacing w:after="240"/>
      </w:pPr>
      <w:r>
        <w:t>15: Life on Land</w:t>
      </w:r>
    </w:p>
    <w:p w:rsidR="00C50638" w:rsidRDefault="00C50638" w:rsidP="00C50638">
      <w:pPr>
        <w:pStyle w:val="ListBullet"/>
        <w:spacing w:after="240"/>
      </w:pPr>
      <w:r>
        <w:t>17: Partnerships for the Goal</w:t>
      </w:r>
    </w:p>
    <w:p w:rsidR="004E4A3F" w:rsidRDefault="004E4A3F" w:rsidP="00C50638">
      <w:pPr>
        <w:pStyle w:val="Heading2"/>
        <w:rPr>
          <w:rFonts w:hint="eastAsia"/>
        </w:rPr>
        <w:sectPr w:rsidR="004E4A3F" w:rsidSect="00EF11A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0" w:h="16840"/>
          <w:pgMar w:top="1418" w:right="987" w:bottom="1134" w:left="1134" w:header="709" w:footer="709" w:gutter="0"/>
          <w:cols w:space="708"/>
          <w:docGrid w:linePitch="360"/>
        </w:sectPr>
      </w:pPr>
      <w:bookmarkStart w:id="47" w:name="_Toc88829980"/>
      <w:bookmarkStart w:id="48" w:name="_Toc88562263"/>
    </w:p>
    <w:p w:rsidR="00C50638" w:rsidRDefault="00C50638" w:rsidP="00C50638">
      <w:pPr>
        <w:pStyle w:val="Heading2"/>
        <w:rPr>
          <w:rFonts w:hint="eastAsia"/>
        </w:rPr>
      </w:pPr>
      <w:bookmarkStart w:id="49" w:name="_Toc158887366"/>
      <w:r>
        <w:lastRenderedPageBreak/>
        <w:t>Eligible offsets retirement summary</w:t>
      </w:r>
      <w:bookmarkEnd w:id="47"/>
      <w:bookmarkEnd w:id="48"/>
      <w:bookmarkEnd w:id="49"/>
    </w:p>
    <w:p w:rsidR="00C50638" w:rsidRDefault="00C50638" w:rsidP="00C50638">
      <w:pPr>
        <w:pStyle w:val="Heading3"/>
        <w:rPr>
          <w:rFonts w:hint="eastAsia"/>
        </w:rPr>
      </w:pPr>
      <w:bookmarkStart w:id="50" w:name="_Toc158887367"/>
      <w:r w:rsidRPr="00C50638">
        <w:t>Offsets retired for Climate Active carbon neutral certification</w:t>
      </w:r>
      <w:bookmarkEnd w:id="50"/>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80"/>
        <w:gridCol w:w="992"/>
        <w:gridCol w:w="992"/>
        <w:gridCol w:w="851"/>
        <w:gridCol w:w="1984"/>
        <w:gridCol w:w="851"/>
        <w:gridCol w:w="1056"/>
        <w:gridCol w:w="1121"/>
        <w:gridCol w:w="1121"/>
        <w:gridCol w:w="1096"/>
        <w:gridCol w:w="992"/>
        <w:gridCol w:w="1276"/>
      </w:tblGrid>
      <w:tr w:rsidR="004E4A3F" w:rsidRPr="0056786B" w:rsidTr="004E4A3F">
        <w:trPr>
          <w:tblHeader/>
        </w:trPr>
        <w:tc>
          <w:tcPr>
            <w:tcW w:w="1980" w:type="dxa"/>
            <w:tcBorders>
              <w:top w:val="single" w:sz="4" w:space="0" w:color="auto"/>
              <w:left w:val="single" w:sz="4" w:space="0" w:color="auto"/>
              <w:bottom w:val="single" w:sz="4" w:space="0" w:color="auto"/>
              <w:right w:val="single" w:sz="4" w:space="0" w:color="auto"/>
            </w:tcBorders>
            <w:hideMark/>
          </w:tcPr>
          <w:p w:rsidR="004E4A3F" w:rsidRPr="0056786B" w:rsidRDefault="004E4A3F" w:rsidP="004E4A3F">
            <w:pPr>
              <w:pStyle w:val="TableofFigures"/>
              <w:rPr>
                <w:b/>
              </w:rPr>
            </w:pPr>
            <w:r w:rsidRPr="0056786B">
              <w:rPr>
                <w:b/>
              </w:rPr>
              <w:t>Project description</w:t>
            </w:r>
          </w:p>
        </w:tc>
        <w:tc>
          <w:tcPr>
            <w:tcW w:w="992" w:type="dxa"/>
            <w:tcBorders>
              <w:top w:val="single" w:sz="4" w:space="0" w:color="auto"/>
              <w:left w:val="single" w:sz="4" w:space="0" w:color="auto"/>
              <w:bottom w:val="single" w:sz="4" w:space="0" w:color="auto"/>
              <w:right w:val="single" w:sz="4" w:space="0" w:color="auto"/>
            </w:tcBorders>
            <w:hideMark/>
          </w:tcPr>
          <w:p w:rsidR="004E4A3F" w:rsidRPr="0056786B" w:rsidRDefault="004E4A3F" w:rsidP="00235B6A">
            <w:pPr>
              <w:pStyle w:val="TableofFigures"/>
              <w:rPr>
                <w:b/>
              </w:rPr>
            </w:pPr>
            <w:r w:rsidRPr="0056786B">
              <w:rPr>
                <w:b/>
              </w:rPr>
              <w:t>Type of</w:t>
            </w:r>
            <w:r w:rsidR="00235B6A">
              <w:rPr>
                <w:b/>
              </w:rPr>
              <w:t xml:space="preserve"> o</w:t>
            </w:r>
            <w:r w:rsidRPr="0056786B">
              <w:rPr>
                <w:b/>
              </w:rPr>
              <w:t>ffset units</w:t>
            </w:r>
          </w:p>
        </w:tc>
        <w:tc>
          <w:tcPr>
            <w:tcW w:w="992" w:type="dxa"/>
            <w:tcBorders>
              <w:top w:val="single" w:sz="4" w:space="0" w:color="auto"/>
              <w:left w:val="single" w:sz="4" w:space="0" w:color="auto"/>
              <w:bottom w:val="single" w:sz="4" w:space="0" w:color="auto"/>
              <w:right w:val="single" w:sz="4" w:space="0" w:color="auto"/>
            </w:tcBorders>
            <w:hideMark/>
          </w:tcPr>
          <w:p w:rsidR="004E4A3F" w:rsidRPr="0056786B" w:rsidRDefault="004E4A3F" w:rsidP="004E4A3F">
            <w:pPr>
              <w:pStyle w:val="TableofFigures"/>
              <w:rPr>
                <w:b/>
              </w:rPr>
            </w:pPr>
            <w:r w:rsidRPr="0056786B">
              <w:rPr>
                <w:b/>
              </w:rPr>
              <w:t>Registry</w:t>
            </w:r>
          </w:p>
        </w:tc>
        <w:tc>
          <w:tcPr>
            <w:tcW w:w="851" w:type="dxa"/>
            <w:tcBorders>
              <w:top w:val="single" w:sz="4" w:space="0" w:color="auto"/>
              <w:left w:val="single" w:sz="4" w:space="0" w:color="auto"/>
              <w:bottom w:val="single" w:sz="4" w:space="0" w:color="auto"/>
              <w:right w:val="single" w:sz="4" w:space="0" w:color="auto"/>
            </w:tcBorders>
            <w:hideMark/>
          </w:tcPr>
          <w:p w:rsidR="004E4A3F" w:rsidRPr="0056786B" w:rsidRDefault="004E4A3F" w:rsidP="00235B6A">
            <w:pPr>
              <w:pStyle w:val="TableofFigures"/>
              <w:rPr>
                <w:b/>
              </w:rPr>
            </w:pPr>
            <w:r w:rsidRPr="0056786B">
              <w:rPr>
                <w:b/>
              </w:rPr>
              <w:t>Date</w:t>
            </w:r>
            <w:r w:rsidR="00235B6A">
              <w:rPr>
                <w:b/>
              </w:rPr>
              <w:t xml:space="preserve"> </w:t>
            </w:r>
            <w:r w:rsidRPr="0056786B">
              <w:rPr>
                <w:b/>
              </w:rPr>
              <w:t>retired</w:t>
            </w:r>
          </w:p>
        </w:tc>
        <w:tc>
          <w:tcPr>
            <w:tcW w:w="1984" w:type="dxa"/>
            <w:tcBorders>
              <w:top w:val="single" w:sz="4" w:space="0" w:color="auto"/>
              <w:left w:val="single" w:sz="4" w:space="0" w:color="auto"/>
              <w:bottom w:val="single" w:sz="4" w:space="0" w:color="auto"/>
              <w:right w:val="single" w:sz="4" w:space="0" w:color="auto"/>
            </w:tcBorders>
            <w:hideMark/>
          </w:tcPr>
          <w:p w:rsidR="004E4A3F" w:rsidRPr="0056786B" w:rsidRDefault="004E4A3F" w:rsidP="00235B6A">
            <w:pPr>
              <w:pStyle w:val="TableofFigures"/>
              <w:rPr>
                <w:b/>
              </w:rPr>
            </w:pPr>
            <w:r w:rsidRPr="0056786B">
              <w:rPr>
                <w:b/>
              </w:rPr>
              <w:t>Serial number (and hyperlink to registry</w:t>
            </w:r>
            <w:r w:rsidR="00235B6A">
              <w:rPr>
                <w:b/>
              </w:rPr>
              <w:t xml:space="preserve"> </w:t>
            </w:r>
            <w:r w:rsidRPr="0056786B">
              <w:rPr>
                <w:b/>
              </w:rPr>
              <w:t>transaction record)</w:t>
            </w:r>
          </w:p>
        </w:tc>
        <w:tc>
          <w:tcPr>
            <w:tcW w:w="851" w:type="dxa"/>
            <w:tcBorders>
              <w:top w:val="single" w:sz="4" w:space="0" w:color="auto"/>
              <w:left w:val="single" w:sz="4" w:space="0" w:color="auto"/>
              <w:bottom w:val="single" w:sz="4" w:space="0" w:color="auto"/>
              <w:right w:val="single" w:sz="4" w:space="0" w:color="auto"/>
            </w:tcBorders>
            <w:hideMark/>
          </w:tcPr>
          <w:p w:rsidR="004E4A3F" w:rsidRPr="0056786B" w:rsidRDefault="004E4A3F" w:rsidP="004E4A3F">
            <w:pPr>
              <w:pStyle w:val="TableofFigures"/>
              <w:rPr>
                <w:b/>
              </w:rPr>
            </w:pPr>
            <w:r w:rsidRPr="0056786B">
              <w:rPr>
                <w:b/>
              </w:rPr>
              <w:t>Vintage</w:t>
            </w:r>
          </w:p>
        </w:tc>
        <w:tc>
          <w:tcPr>
            <w:tcW w:w="1056" w:type="dxa"/>
            <w:tcBorders>
              <w:top w:val="single" w:sz="4" w:space="0" w:color="auto"/>
              <w:left w:val="single" w:sz="4" w:space="0" w:color="auto"/>
              <w:bottom w:val="single" w:sz="4" w:space="0" w:color="auto"/>
              <w:right w:val="single" w:sz="4" w:space="0" w:color="auto"/>
            </w:tcBorders>
          </w:tcPr>
          <w:p w:rsidR="004E4A3F" w:rsidRPr="0056786B" w:rsidRDefault="004E4A3F" w:rsidP="004E4A3F">
            <w:pPr>
              <w:pStyle w:val="TableofFigures"/>
              <w:rPr>
                <w:b/>
              </w:rPr>
            </w:pPr>
            <w:r>
              <w:rPr>
                <w:b/>
              </w:rPr>
              <w:t>Stapled quantity</w:t>
            </w:r>
          </w:p>
        </w:tc>
        <w:tc>
          <w:tcPr>
            <w:tcW w:w="1121" w:type="dxa"/>
            <w:tcBorders>
              <w:top w:val="single" w:sz="4" w:space="0" w:color="auto"/>
              <w:left w:val="single" w:sz="4" w:space="0" w:color="auto"/>
              <w:bottom w:val="single" w:sz="4" w:space="0" w:color="auto"/>
              <w:right w:val="single" w:sz="4" w:space="0" w:color="auto"/>
            </w:tcBorders>
            <w:hideMark/>
          </w:tcPr>
          <w:p w:rsidR="004E4A3F" w:rsidRPr="0056786B" w:rsidRDefault="004E4A3F" w:rsidP="00235B6A">
            <w:pPr>
              <w:pStyle w:val="TableofFigures"/>
              <w:rPr>
                <w:b/>
              </w:rPr>
            </w:pPr>
            <w:r w:rsidRPr="0056786B">
              <w:rPr>
                <w:b/>
              </w:rPr>
              <w:t>Eligible</w:t>
            </w:r>
            <w:r w:rsidR="00235B6A">
              <w:rPr>
                <w:b/>
              </w:rPr>
              <w:t xml:space="preserve"> </w:t>
            </w:r>
            <w:r w:rsidRPr="0056786B">
              <w:rPr>
                <w:b/>
              </w:rPr>
              <w:t>quantity</w:t>
            </w:r>
            <w:r w:rsidR="00235B6A">
              <w:rPr>
                <w:b/>
              </w:rPr>
              <w:t xml:space="preserve"> (tCO</w:t>
            </w:r>
            <w:r w:rsidR="00235B6A" w:rsidRPr="00235B6A">
              <w:rPr>
                <w:rFonts w:ascii="Arial Bold" w:hAnsi="Arial Bold"/>
                <w:b/>
                <w:vertAlign w:val="subscript"/>
              </w:rPr>
              <w:t>2</w:t>
            </w:r>
            <w:r w:rsidRPr="0056786B">
              <w:rPr>
                <w:b/>
              </w:rPr>
              <w:t>e)</w:t>
            </w:r>
          </w:p>
        </w:tc>
        <w:tc>
          <w:tcPr>
            <w:tcW w:w="1121" w:type="dxa"/>
            <w:tcBorders>
              <w:top w:val="single" w:sz="4" w:space="0" w:color="auto"/>
              <w:left w:val="single" w:sz="4" w:space="0" w:color="auto"/>
              <w:bottom w:val="single" w:sz="4" w:space="0" w:color="auto"/>
              <w:right w:val="single" w:sz="4" w:space="0" w:color="auto"/>
            </w:tcBorders>
            <w:hideMark/>
          </w:tcPr>
          <w:p w:rsidR="004E4A3F" w:rsidRPr="0056786B" w:rsidRDefault="004E4A3F" w:rsidP="00235B6A">
            <w:pPr>
              <w:pStyle w:val="TableofFigures"/>
              <w:rPr>
                <w:b/>
              </w:rPr>
            </w:pPr>
            <w:r w:rsidRPr="0056786B">
              <w:rPr>
                <w:b/>
              </w:rPr>
              <w:t>Eligible quantity used for previous</w:t>
            </w:r>
            <w:r w:rsidR="00235B6A">
              <w:rPr>
                <w:b/>
              </w:rPr>
              <w:t xml:space="preserve"> </w:t>
            </w:r>
            <w:r w:rsidRPr="0056786B">
              <w:rPr>
                <w:b/>
              </w:rPr>
              <w:t>reporting</w:t>
            </w:r>
            <w:r w:rsidR="00235B6A">
              <w:rPr>
                <w:b/>
              </w:rPr>
              <w:t xml:space="preserve"> </w:t>
            </w:r>
            <w:r w:rsidRPr="0056786B">
              <w:rPr>
                <w:b/>
              </w:rPr>
              <w:t>periods</w:t>
            </w:r>
          </w:p>
        </w:tc>
        <w:tc>
          <w:tcPr>
            <w:tcW w:w="1096" w:type="dxa"/>
            <w:tcBorders>
              <w:top w:val="single" w:sz="4" w:space="0" w:color="auto"/>
              <w:left w:val="single" w:sz="4" w:space="0" w:color="auto"/>
              <w:bottom w:val="single" w:sz="4" w:space="0" w:color="auto"/>
              <w:right w:val="single" w:sz="4" w:space="0" w:color="auto"/>
            </w:tcBorders>
            <w:hideMark/>
          </w:tcPr>
          <w:p w:rsidR="004E4A3F" w:rsidRPr="0056786B" w:rsidRDefault="004E4A3F" w:rsidP="00235B6A">
            <w:pPr>
              <w:pStyle w:val="TableofFigures"/>
              <w:rPr>
                <w:b/>
              </w:rPr>
            </w:pPr>
            <w:r w:rsidRPr="0056786B">
              <w:rPr>
                <w:b/>
              </w:rPr>
              <w:t>Eligible quantity</w:t>
            </w:r>
            <w:r w:rsidR="00235B6A">
              <w:rPr>
                <w:b/>
              </w:rPr>
              <w:t xml:space="preserve"> </w:t>
            </w:r>
            <w:r w:rsidRPr="0056786B">
              <w:rPr>
                <w:b/>
              </w:rPr>
              <w:t>banked for future</w:t>
            </w:r>
            <w:r w:rsidR="00235B6A">
              <w:rPr>
                <w:b/>
              </w:rPr>
              <w:t xml:space="preserve"> </w:t>
            </w:r>
            <w:r w:rsidRPr="0056786B">
              <w:rPr>
                <w:b/>
              </w:rPr>
              <w:t>reporting</w:t>
            </w:r>
            <w:r w:rsidR="00235B6A">
              <w:rPr>
                <w:b/>
              </w:rPr>
              <w:t xml:space="preserve"> </w:t>
            </w:r>
            <w:r w:rsidRPr="0056786B">
              <w:rPr>
                <w:b/>
              </w:rPr>
              <w:t>periods</w:t>
            </w:r>
          </w:p>
        </w:tc>
        <w:tc>
          <w:tcPr>
            <w:tcW w:w="992" w:type="dxa"/>
            <w:tcBorders>
              <w:top w:val="single" w:sz="4" w:space="0" w:color="auto"/>
              <w:left w:val="single" w:sz="4" w:space="0" w:color="auto"/>
              <w:bottom w:val="single" w:sz="4" w:space="0" w:color="auto"/>
              <w:right w:val="single" w:sz="4" w:space="0" w:color="auto"/>
            </w:tcBorders>
            <w:hideMark/>
          </w:tcPr>
          <w:p w:rsidR="004E4A3F" w:rsidRPr="0056786B" w:rsidRDefault="004E4A3F" w:rsidP="00235B6A">
            <w:pPr>
              <w:pStyle w:val="TableofFigures"/>
              <w:rPr>
                <w:b/>
              </w:rPr>
            </w:pPr>
            <w:r w:rsidRPr="0056786B">
              <w:rPr>
                <w:b/>
              </w:rPr>
              <w:t>Eligible quantity</w:t>
            </w:r>
            <w:r w:rsidR="00235B6A">
              <w:rPr>
                <w:b/>
              </w:rPr>
              <w:t xml:space="preserve"> </w:t>
            </w:r>
            <w:r w:rsidRPr="0056786B">
              <w:rPr>
                <w:b/>
              </w:rPr>
              <w:t>used for this reporting</w:t>
            </w:r>
            <w:r w:rsidR="00235B6A">
              <w:rPr>
                <w:b/>
              </w:rPr>
              <w:t xml:space="preserve"> </w:t>
            </w:r>
            <w:r w:rsidRPr="0056786B">
              <w:rPr>
                <w:b/>
              </w:rPr>
              <w:t>period claim</w:t>
            </w:r>
          </w:p>
        </w:tc>
        <w:tc>
          <w:tcPr>
            <w:tcW w:w="1276" w:type="dxa"/>
            <w:tcBorders>
              <w:top w:val="single" w:sz="4" w:space="0" w:color="auto"/>
              <w:left w:val="single" w:sz="4" w:space="0" w:color="auto"/>
              <w:bottom w:val="single" w:sz="4" w:space="0" w:color="auto"/>
              <w:right w:val="single" w:sz="4" w:space="0" w:color="auto"/>
            </w:tcBorders>
            <w:hideMark/>
          </w:tcPr>
          <w:p w:rsidR="004E4A3F" w:rsidRPr="0056786B" w:rsidRDefault="004E4A3F" w:rsidP="004E4A3F">
            <w:pPr>
              <w:pStyle w:val="TableofFigures"/>
              <w:rPr>
                <w:b/>
              </w:rPr>
            </w:pPr>
            <w:r w:rsidRPr="0056786B">
              <w:rPr>
                <w:b/>
              </w:rPr>
              <w:t>Percentage of total (%)</w:t>
            </w:r>
          </w:p>
        </w:tc>
      </w:tr>
      <w:tr w:rsidR="004E4A3F" w:rsidRPr="0056786B" w:rsidTr="008A277C">
        <w:tc>
          <w:tcPr>
            <w:tcW w:w="1980" w:type="dxa"/>
            <w:tcBorders>
              <w:top w:val="single" w:sz="4" w:space="0" w:color="auto"/>
              <w:left w:val="single" w:sz="4" w:space="0" w:color="auto"/>
              <w:bottom w:val="single" w:sz="4" w:space="0" w:color="auto"/>
              <w:right w:val="single" w:sz="4" w:space="0" w:color="auto"/>
            </w:tcBorders>
            <w:hideMark/>
          </w:tcPr>
          <w:p w:rsidR="004E4A3F" w:rsidRPr="00022AB6" w:rsidRDefault="004E4A3F" w:rsidP="004E4A3F">
            <w:pPr>
              <w:pStyle w:val="TableofFigures"/>
            </w:pPr>
            <w:r w:rsidRPr="00022AB6">
              <w:t>Grouped Hydropower Plants in Chongqing, Yunnan,Sichuan and Guizhou Provinces, P.R. China</w:t>
            </w:r>
          </w:p>
        </w:tc>
        <w:tc>
          <w:tcPr>
            <w:tcW w:w="992" w:type="dxa"/>
            <w:tcBorders>
              <w:top w:val="single" w:sz="4" w:space="0" w:color="auto"/>
              <w:left w:val="single" w:sz="4" w:space="0" w:color="auto"/>
              <w:bottom w:val="single" w:sz="4" w:space="0" w:color="auto"/>
              <w:right w:val="single" w:sz="4" w:space="0" w:color="auto"/>
            </w:tcBorders>
            <w:hideMark/>
          </w:tcPr>
          <w:p w:rsidR="004E4A3F" w:rsidRPr="0056786B" w:rsidRDefault="004E4A3F" w:rsidP="004E4A3F">
            <w:pPr>
              <w:pStyle w:val="TableofFigures"/>
            </w:pPr>
            <w:r w:rsidRPr="0056786B">
              <w:t>VCU</w:t>
            </w:r>
          </w:p>
        </w:tc>
        <w:tc>
          <w:tcPr>
            <w:tcW w:w="992" w:type="dxa"/>
            <w:tcBorders>
              <w:top w:val="single" w:sz="4" w:space="0" w:color="auto"/>
              <w:left w:val="single" w:sz="4" w:space="0" w:color="auto"/>
              <w:bottom w:val="single" w:sz="4" w:space="0" w:color="auto"/>
              <w:right w:val="single" w:sz="4" w:space="0" w:color="auto"/>
            </w:tcBorders>
            <w:hideMark/>
          </w:tcPr>
          <w:p w:rsidR="004E4A3F" w:rsidRPr="0056786B" w:rsidRDefault="004E4A3F" w:rsidP="004E4A3F">
            <w:pPr>
              <w:pStyle w:val="TableofFigures"/>
            </w:pPr>
            <w:r>
              <w:t>Verra</w:t>
            </w:r>
          </w:p>
        </w:tc>
        <w:tc>
          <w:tcPr>
            <w:tcW w:w="851" w:type="dxa"/>
            <w:tcBorders>
              <w:top w:val="single" w:sz="4" w:space="0" w:color="auto"/>
              <w:left w:val="single" w:sz="4" w:space="0" w:color="auto"/>
              <w:bottom w:val="single" w:sz="4" w:space="0" w:color="auto"/>
              <w:right w:val="single" w:sz="4" w:space="0" w:color="auto"/>
            </w:tcBorders>
            <w:hideMark/>
          </w:tcPr>
          <w:p w:rsidR="004E4A3F" w:rsidRPr="0056786B" w:rsidRDefault="004E4A3F" w:rsidP="004E4A3F">
            <w:pPr>
              <w:pStyle w:val="TableofFigures"/>
            </w:pPr>
            <w:r>
              <w:t>18 October 2023</w:t>
            </w:r>
          </w:p>
        </w:tc>
        <w:tc>
          <w:tcPr>
            <w:tcW w:w="1984" w:type="dxa"/>
            <w:tcBorders>
              <w:top w:val="single" w:sz="4" w:space="0" w:color="auto"/>
              <w:left w:val="single" w:sz="4" w:space="0" w:color="auto"/>
              <w:bottom w:val="single" w:sz="4" w:space="0" w:color="auto"/>
              <w:right w:val="single" w:sz="4" w:space="0" w:color="auto"/>
            </w:tcBorders>
          </w:tcPr>
          <w:p w:rsidR="004E4A3F" w:rsidRPr="0056786B" w:rsidRDefault="005F6F30" w:rsidP="004E4A3F">
            <w:pPr>
              <w:pStyle w:val="TableofFigures"/>
              <w:rPr>
                <w:highlight w:val="yellow"/>
              </w:rPr>
            </w:pPr>
            <w:hyperlink r:id="rId18" w:history="1">
              <w:r w:rsidR="004E4A3F" w:rsidRPr="005A14E6">
                <w:rPr>
                  <w:rStyle w:val="Hyperlink"/>
                </w:rPr>
                <w:t>9407-95959708-95964707-VCS-VCU-785-VER-CN-1-438-28032016-25092016-1</w:t>
              </w:r>
            </w:hyperlink>
            <w:r w:rsidR="004E4A3F">
              <w:rPr>
                <w:rStyle w:val="FootnoteReference"/>
              </w:rPr>
              <w:footnoteReference w:id="4"/>
            </w:r>
          </w:p>
        </w:tc>
        <w:tc>
          <w:tcPr>
            <w:tcW w:w="851" w:type="dxa"/>
            <w:tcBorders>
              <w:top w:val="single" w:sz="4" w:space="0" w:color="auto"/>
              <w:left w:val="single" w:sz="4" w:space="0" w:color="auto"/>
              <w:bottom w:val="single" w:sz="4" w:space="0" w:color="auto"/>
              <w:right w:val="single" w:sz="4" w:space="0" w:color="auto"/>
            </w:tcBorders>
            <w:hideMark/>
          </w:tcPr>
          <w:p w:rsidR="004E4A3F" w:rsidRPr="0056786B" w:rsidRDefault="004E4A3F" w:rsidP="008A277C">
            <w:pPr>
              <w:pStyle w:val="TableofFigures"/>
              <w:jc w:val="right"/>
            </w:pPr>
            <w:r w:rsidRPr="0056786B">
              <w:t>2016</w:t>
            </w:r>
          </w:p>
        </w:tc>
        <w:tc>
          <w:tcPr>
            <w:tcW w:w="1056" w:type="dxa"/>
            <w:tcBorders>
              <w:top w:val="single" w:sz="4" w:space="0" w:color="auto"/>
              <w:left w:val="single" w:sz="4" w:space="0" w:color="auto"/>
              <w:bottom w:val="single" w:sz="4" w:space="0" w:color="auto"/>
              <w:right w:val="single" w:sz="4" w:space="0" w:color="auto"/>
            </w:tcBorders>
          </w:tcPr>
          <w:p w:rsidR="004E4A3F" w:rsidRPr="0056786B" w:rsidRDefault="008A277C" w:rsidP="008A277C">
            <w:pPr>
              <w:pStyle w:val="TableofFigures"/>
              <w:jc w:val="right"/>
            </w:pPr>
            <w:r>
              <w:t>0</w:t>
            </w:r>
          </w:p>
        </w:tc>
        <w:tc>
          <w:tcPr>
            <w:tcW w:w="1121" w:type="dxa"/>
            <w:tcBorders>
              <w:top w:val="single" w:sz="4" w:space="0" w:color="auto"/>
              <w:left w:val="single" w:sz="4" w:space="0" w:color="auto"/>
              <w:bottom w:val="single" w:sz="4" w:space="0" w:color="auto"/>
              <w:right w:val="single" w:sz="4" w:space="0" w:color="auto"/>
            </w:tcBorders>
            <w:hideMark/>
          </w:tcPr>
          <w:p w:rsidR="004E4A3F" w:rsidRPr="0056786B" w:rsidRDefault="008A277C" w:rsidP="008A277C">
            <w:pPr>
              <w:pStyle w:val="TableofFigures"/>
              <w:jc w:val="right"/>
            </w:pPr>
            <w:r>
              <w:t>4,079</w:t>
            </w:r>
          </w:p>
        </w:tc>
        <w:tc>
          <w:tcPr>
            <w:tcW w:w="1121" w:type="dxa"/>
            <w:tcBorders>
              <w:top w:val="single" w:sz="4" w:space="0" w:color="auto"/>
              <w:left w:val="single" w:sz="4" w:space="0" w:color="auto"/>
              <w:bottom w:val="single" w:sz="4" w:space="0" w:color="auto"/>
              <w:right w:val="single" w:sz="4" w:space="0" w:color="auto"/>
            </w:tcBorders>
          </w:tcPr>
          <w:p w:rsidR="004E4A3F" w:rsidRPr="0056786B" w:rsidRDefault="008A277C" w:rsidP="008A277C">
            <w:pPr>
              <w:pStyle w:val="TableofFigures"/>
              <w:jc w:val="right"/>
            </w:pPr>
            <w:r>
              <w:t>0</w:t>
            </w:r>
          </w:p>
        </w:tc>
        <w:tc>
          <w:tcPr>
            <w:tcW w:w="1096" w:type="dxa"/>
            <w:tcBorders>
              <w:top w:val="single" w:sz="4" w:space="0" w:color="auto"/>
              <w:left w:val="single" w:sz="4" w:space="0" w:color="auto"/>
              <w:bottom w:val="single" w:sz="4" w:space="0" w:color="auto"/>
              <w:right w:val="single" w:sz="4" w:space="0" w:color="auto"/>
            </w:tcBorders>
          </w:tcPr>
          <w:p w:rsidR="004E4A3F" w:rsidRPr="0056786B" w:rsidRDefault="008A277C" w:rsidP="008A277C">
            <w:pPr>
              <w:pStyle w:val="TableofFigures"/>
              <w:jc w:val="right"/>
            </w:pPr>
            <w:r>
              <w:t>0</w:t>
            </w:r>
          </w:p>
        </w:tc>
        <w:tc>
          <w:tcPr>
            <w:tcW w:w="992" w:type="dxa"/>
            <w:tcBorders>
              <w:top w:val="single" w:sz="4" w:space="0" w:color="auto"/>
              <w:left w:val="single" w:sz="4" w:space="0" w:color="auto"/>
              <w:bottom w:val="single" w:sz="4" w:space="0" w:color="auto"/>
              <w:right w:val="single" w:sz="4" w:space="0" w:color="auto"/>
            </w:tcBorders>
            <w:hideMark/>
          </w:tcPr>
          <w:p w:rsidR="004E4A3F" w:rsidRPr="0056786B" w:rsidRDefault="008A277C" w:rsidP="008A277C">
            <w:pPr>
              <w:pStyle w:val="TableofFigures"/>
              <w:jc w:val="right"/>
            </w:pPr>
            <w:r>
              <w:t>4,079</w:t>
            </w:r>
          </w:p>
        </w:tc>
        <w:tc>
          <w:tcPr>
            <w:tcW w:w="1276" w:type="dxa"/>
            <w:tcBorders>
              <w:top w:val="single" w:sz="4" w:space="0" w:color="auto"/>
              <w:left w:val="single" w:sz="4" w:space="0" w:color="auto"/>
              <w:bottom w:val="single" w:sz="4" w:space="0" w:color="auto"/>
              <w:right w:val="single" w:sz="4" w:space="0" w:color="auto"/>
            </w:tcBorders>
            <w:hideMark/>
          </w:tcPr>
          <w:p w:rsidR="004E4A3F" w:rsidRPr="0056786B" w:rsidRDefault="008A277C" w:rsidP="008A277C">
            <w:pPr>
              <w:pStyle w:val="TableofFigures"/>
              <w:jc w:val="right"/>
            </w:pPr>
            <w:r>
              <w:t>34</w:t>
            </w:r>
            <w:r w:rsidR="004E4A3F" w:rsidRPr="0056786B">
              <w:t>%</w:t>
            </w:r>
          </w:p>
        </w:tc>
      </w:tr>
      <w:tr w:rsidR="008A277C" w:rsidRPr="0056786B" w:rsidTr="004E4A3F">
        <w:tc>
          <w:tcPr>
            <w:tcW w:w="1980" w:type="dxa"/>
            <w:tcBorders>
              <w:top w:val="single" w:sz="4" w:space="0" w:color="auto"/>
              <w:left w:val="single" w:sz="4" w:space="0" w:color="auto"/>
              <w:bottom w:val="single" w:sz="4" w:space="0" w:color="auto"/>
              <w:right w:val="single" w:sz="4" w:space="0" w:color="auto"/>
            </w:tcBorders>
          </w:tcPr>
          <w:p w:rsidR="008A277C" w:rsidRPr="00022AB6" w:rsidRDefault="008A277C" w:rsidP="008A277C">
            <w:pPr>
              <w:pStyle w:val="TableofFigures"/>
            </w:pPr>
            <w:r w:rsidRPr="00022AB6">
              <w:t>Grouped Hydropower Plants in Chongqing, Yunnan,Sichuan and Guizhou Provinces, P.R. China</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rsidRPr="0056786B">
              <w:t>VCU</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t>Verra</w:t>
            </w:r>
          </w:p>
        </w:tc>
        <w:tc>
          <w:tcPr>
            <w:tcW w:w="85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t>18 October 2023</w:t>
            </w:r>
          </w:p>
        </w:tc>
        <w:tc>
          <w:tcPr>
            <w:tcW w:w="1984" w:type="dxa"/>
            <w:tcBorders>
              <w:top w:val="single" w:sz="4" w:space="0" w:color="auto"/>
              <w:left w:val="single" w:sz="4" w:space="0" w:color="auto"/>
              <w:bottom w:val="single" w:sz="4" w:space="0" w:color="auto"/>
              <w:right w:val="single" w:sz="4" w:space="0" w:color="auto"/>
            </w:tcBorders>
          </w:tcPr>
          <w:p w:rsidR="008A277C" w:rsidRDefault="005F6F30" w:rsidP="00235B6A">
            <w:pPr>
              <w:pStyle w:val="TableofFigures"/>
            </w:pPr>
            <w:hyperlink r:id="rId19" w:history="1">
              <w:r w:rsidR="008A277C" w:rsidRPr="004E4A3F">
                <w:rPr>
                  <w:rStyle w:val="Hyperlink"/>
                </w:rPr>
                <w:t>10901-255320439-255320515-VCS-VCU-785-VER-CN-1-438-26122015-27032016-1</w:t>
              </w:r>
            </w:hyperlink>
            <w:r w:rsidR="008A277C">
              <w:rPr>
                <w:rStyle w:val="FootnoteReference"/>
              </w:rPr>
              <w:footnoteReference w:id="5"/>
            </w:r>
          </w:p>
        </w:tc>
        <w:tc>
          <w:tcPr>
            <w:tcW w:w="85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rsidRPr="0056786B">
              <w:t>2016</w:t>
            </w:r>
          </w:p>
        </w:tc>
        <w:tc>
          <w:tcPr>
            <w:tcW w:w="105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112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77</w:t>
            </w:r>
          </w:p>
        </w:tc>
        <w:tc>
          <w:tcPr>
            <w:tcW w:w="112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109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77</w:t>
            </w:r>
          </w:p>
        </w:tc>
        <w:tc>
          <w:tcPr>
            <w:tcW w:w="127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0.6</w:t>
            </w:r>
            <w:r w:rsidRPr="0056786B">
              <w:t>%</w:t>
            </w:r>
          </w:p>
        </w:tc>
      </w:tr>
      <w:tr w:rsidR="008A277C" w:rsidRPr="0056786B" w:rsidTr="004E4A3F">
        <w:tc>
          <w:tcPr>
            <w:tcW w:w="1980" w:type="dxa"/>
            <w:tcBorders>
              <w:top w:val="single" w:sz="4" w:space="0" w:color="auto"/>
              <w:left w:val="single" w:sz="4" w:space="0" w:color="auto"/>
              <w:bottom w:val="single" w:sz="4" w:space="0" w:color="auto"/>
              <w:right w:val="single" w:sz="4" w:space="0" w:color="auto"/>
            </w:tcBorders>
          </w:tcPr>
          <w:p w:rsidR="008A277C" w:rsidRPr="00022AB6" w:rsidRDefault="008A277C" w:rsidP="008A277C">
            <w:pPr>
              <w:pStyle w:val="TableofFigures"/>
            </w:pPr>
            <w:r w:rsidRPr="00022AB6">
              <w:t>Grouped Hydropower Plants in Chongqing, Yunnan,Sichuan and Guizhou Provinces, P.R. China</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rsidRPr="0056786B">
              <w:t>VCU</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t>Verra</w:t>
            </w:r>
          </w:p>
        </w:tc>
        <w:tc>
          <w:tcPr>
            <w:tcW w:w="85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t>18 October 2023</w:t>
            </w:r>
          </w:p>
        </w:tc>
        <w:tc>
          <w:tcPr>
            <w:tcW w:w="1984" w:type="dxa"/>
            <w:tcBorders>
              <w:top w:val="single" w:sz="4" w:space="0" w:color="auto"/>
              <w:left w:val="single" w:sz="4" w:space="0" w:color="auto"/>
              <w:bottom w:val="single" w:sz="4" w:space="0" w:color="auto"/>
              <w:right w:val="single" w:sz="4" w:space="0" w:color="auto"/>
            </w:tcBorders>
          </w:tcPr>
          <w:p w:rsidR="008A277C" w:rsidRDefault="005F6F30" w:rsidP="00235B6A">
            <w:pPr>
              <w:pStyle w:val="TableofFigures"/>
            </w:pPr>
            <w:hyperlink r:id="rId20" w:history="1">
              <w:r w:rsidR="008A277C" w:rsidRPr="008A277C">
                <w:rPr>
                  <w:rStyle w:val="Hyperlink"/>
                </w:rPr>
                <w:t>8534-29310681-29310696-VCS-VCU-785-VER-CN-1-438-26122015-27032016-1</w:t>
              </w:r>
            </w:hyperlink>
            <w:r w:rsidR="008A277C">
              <w:rPr>
                <w:rStyle w:val="FootnoteReference"/>
              </w:rPr>
              <w:footnoteReference w:id="6"/>
            </w:r>
          </w:p>
        </w:tc>
        <w:tc>
          <w:tcPr>
            <w:tcW w:w="85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rsidRPr="0056786B">
              <w:t>2016</w:t>
            </w:r>
          </w:p>
        </w:tc>
        <w:tc>
          <w:tcPr>
            <w:tcW w:w="105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112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16</w:t>
            </w:r>
          </w:p>
        </w:tc>
        <w:tc>
          <w:tcPr>
            <w:tcW w:w="112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109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16</w:t>
            </w:r>
          </w:p>
        </w:tc>
        <w:tc>
          <w:tcPr>
            <w:tcW w:w="127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0.1</w:t>
            </w:r>
            <w:r w:rsidRPr="0056786B">
              <w:t>%</w:t>
            </w:r>
          </w:p>
        </w:tc>
      </w:tr>
      <w:tr w:rsidR="008A277C" w:rsidRPr="0056786B" w:rsidTr="004E4A3F">
        <w:tc>
          <w:tcPr>
            <w:tcW w:w="1980" w:type="dxa"/>
            <w:tcBorders>
              <w:top w:val="single" w:sz="4" w:space="0" w:color="auto"/>
              <w:left w:val="single" w:sz="4" w:space="0" w:color="auto"/>
              <w:bottom w:val="single" w:sz="4" w:space="0" w:color="auto"/>
              <w:right w:val="single" w:sz="4" w:space="0" w:color="auto"/>
            </w:tcBorders>
          </w:tcPr>
          <w:p w:rsidR="008A277C" w:rsidRPr="00022AB6" w:rsidRDefault="008A277C" w:rsidP="008A277C">
            <w:pPr>
              <w:pStyle w:val="TableofFigures"/>
            </w:pPr>
            <w:r w:rsidRPr="00022AB6">
              <w:lastRenderedPageBreak/>
              <w:t>Grouped Hydropower Plants in Chongqing, Yunnan,Sichuan and Guizhou Provinces, P.R. China</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rsidRPr="0056786B">
              <w:t>VCU</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t>Verra</w:t>
            </w:r>
          </w:p>
        </w:tc>
        <w:tc>
          <w:tcPr>
            <w:tcW w:w="85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t>18 October 2023</w:t>
            </w:r>
          </w:p>
        </w:tc>
        <w:tc>
          <w:tcPr>
            <w:tcW w:w="1984" w:type="dxa"/>
            <w:tcBorders>
              <w:top w:val="single" w:sz="4" w:space="0" w:color="auto"/>
              <w:left w:val="single" w:sz="4" w:space="0" w:color="auto"/>
              <w:bottom w:val="single" w:sz="4" w:space="0" w:color="auto"/>
              <w:right w:val="single" w:sz="4" w:space="0" w:color="auto"/>
            </w:tcBorders>
          </w:tcPr>
          <w:p w:rsidR="008A277C" w:rsidRDefault="005F6F30" w:rsidP="00235B6A">
            <w:pPr>
              <w:pStyle w:val="TableofFigures"/>
            </w:pPr>
            <w:hyperlink r:id="rId21" w:history="1">
              <w:r w:rsidR="008A277C" w:rsidRPr="008A277C">
                <w:rPr>
                  <w:rStyle w:val="Hyperlink"/>
                </w:rPr>
                <w:t>6943-360495871-360495904-VCU-028-APX-CN-1-438-28032016-25092016-1</w:t>
              </w:r>
            </w:hyperlink>
            <w:r w:rsidR="008A277C">
              <w:rPr>
                <w:rStyle w:val="FootnoteReference"/>
              </w:rPr>
              <w:footnoteReference w:id="7"/>
            </w:r>
          </w:p>
        </w:tc>
        <w:tc>
          <w:tcPr>
            <w:tcW w:w="85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rsidRPr="0056786B">
              <w:t>2016</w:t>
            </w:r>
          </w:p>
        </w:tc>
        <w:tc>
          <w:tcPr>
            <w:tcW w:w="105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112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34</w:t>
            </w:r>
          </w:p>
        </w:tc>
        <w:tc>
          <w:tcPr>
            <w:tcW w:w="112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109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34</w:t>
            </w:r>
          </w:p>
        </w:tc>
        <w:tc>
          <w:tcPr>
            <w:tcW w:w="127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0.3</w:t>
            </w:r>
            <w:r w:rsidRPr="0056786B">
              <w:t>%</w:t>
            </w:r>
          </w:p>
        </w:tc>
      </w:tr>
      <w:tr w:rsidR="008A277C" w:rsidRPr="0056786B" w:rsidTr="004E4A3F">
        <w:tc>
          <w:tcPr>
            <w:tcW w:w="1980" w:type="dxa"/>
            <w:tcBorders>
              <w:top w:val="single" w:sz="4" w:space="0" w:color="auto"/>
              <w:left w:val="single" w:sz="4" w:space="0" w:color="auto"/>
              <w:bottom w:val="single" w:sz="4" w:space="0" w:color="auto"/>
              <w:right w:val="single" w:sz="4" w:space="0" w:color="auto"/>
            </w:tcBorders>
          </w:tcPr>
          <w:p w:rsidR="008A277C" w:rsidRPr="00022AB6" w:rsidRDefault="008A277C" w:rsidP="008A277C">
            <w:pPr>
              <w:pStyle w:val="TableofFigures"/>
            </w:pPr>
            <w:r w:rsidRPr="00022AB6">
              <w:t>Grouped Hydropower Plants in Chongqing, Yunnan,Sichuan and Guizhou Provinces, P.R. China</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rsidRPr="0056786B">
              <w:t>VCU</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t>Verra</w:t>
            </w:r>
          </w:p>
        </w:tc>
        <w:tc>
          <w:tcPr>
            <w:tcW w:w="85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t>18 October 2023</w:t>
            </w:r>
          </w:p>
        </w:tc>
        <w:tc>
          <w:tcPr>
            <w:tcW w:w="1984" w:type="dxa"/>
            <w:tcBorders>
              <w:top w:val="single" w:sz="4" w:space="0" w:color="auto"/>
              <w:left w:val="single" w:sz="4" w:space="0" w:color="auto"/>
              <w:bottom w:val="single" w:sz="4" w:space="0" w:color="auto"/>
              <w:right w:val="single" w:sz="4" w:space="0" w:color="auto"/>
            </w:tcBorders>
          </w:tcPr>
          <w:p w:rsidR="008A277C" w:rsidRDefault="005F6F30" w:rsidP="00235B6A">
            <w:pPr>
              <w:pStyle w:val="TableofFigures"/>
            </w:pPr>
            <w:hyperlink r:id="rId22" w:history="1">
              <w:r w:rsidR="008A277C" w:rsidRPr="008A277C">
                <w:rPr>
                  <w:rStyle w:val="Hyperlink"/>
                </w:rPr>
                <w:t>13098-471501664-471502155-VCS-VCU-785-VER-CN-1-438-28032016-25092016-1</w:t>
              </w:r>
            </w:hyperlink>
            <w:r w:rsidR="008A277C">
              <w:rPr>
                <w:rStyle w:val="FootnoteReference"/>
              </w:rPr>
              <w:footnoteReference w:id="8"/>
            </w:r>
          </w:p>
        </w:tc>
        <w:tc>
          <w:tcPr>
            <w:tcW w:w="85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rsidRPr="0056786B">
              <w:t>2016</w:t>
            </w:r>
          </w:p>
        </w:tc>
        <w:tc>
          <w:tcPr>
            <w:tcW w:w="105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112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492</w:t>
            </w:r>
          </w:p>
        </w:tc>
        <w:tc>
          <w:tcPr>
            <w:tcW w:w="112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109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492</w:t>
            </w:r>
          </w:p>
        </w:tc>
        <w:tc>
          <w:tcPr>
            <w:tcW w:w="127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4</w:t>
            </w:r>
            <w:r w:rsidRPr="0056786B">
              <w:t>%</w:t>
            </w:r>
          </w:p>
        </w:tc>
      </w:tr>
      <w:tr w:rsidR="008A277C" w:rsidRPr="0056786B" w:rsidTr="004E4A3F">
        <w:tc>
          <w:tcPr>
            <w:tcW w:w="1980" w:type="dxa"/>
            <w:tcBorders>
              <w:top w:val="single" w:sz="4" w:space="0" w:color="auto"/>
              <w:left w:val="single" w:sz="4" w:space="0" w:color="auto"/>
              <w:bottom w:val="single" w:sz="4" w:space="0" w:color="auto"/>
              <w:right w:val="single" w:sz="4" w:space="0" w:color="auto"/>
            </w:tcBorders>
          </w:tcPr>
          <w:p w:rsidR="008A277C" w:rsidRPr="00022AB6" w:rsidRDefault="008A277C" w:rsidP="008A277C">
            <w:pPr>
              <w:pStyle w:val="TableofFigures"/>
            </w:pPr>
            <w:r w:rsidRPr="00022AB6">
              <w:t>Grouped Hydropower Plants in Chongqing, Yunnan,Sichuan and Guizhou Provinces, P.R. China</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t>VCU</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t>Verra</w:t>
            </w:r>
          </w:p>
        </w:tc>
        <w:tc>
          <w:tcPr>
            <w:tcW w:w="85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t>18 October 2023</w:t>
            </w:r>
          </w:p>
        </w:tc>
        <w:tc>
          <w:tcPr>
            <w:tcW w:w="1984" w:type="dxa"/>
            <w:tcBorders>
              <w:top w:val="single" w:sz="4" w:space="0" w:color="auto"/>
              <w:left w:val="single" w:sz="4" w:space="0" w:color="auto"/>
              <w:bottom w:val="single" w:sz="4" w:space="0" w:color="auto"/>
              <w:right w:val="single" w:sz="4" w:space="0" w:color="auto"/>
            </w:tcBorders>
          </w:tcPr>
          <w:p w:rsidR="008A277C" w:rsidRDefault="005F6F30" w:rsidP="00235B6A">
            <w:pPr>
              <w:pStyle w:val="TableofFigures"/>
            </w:pPr>
            <w:hyperlink r:id="rId23" w:history="1">
              <w:r w:rsidR="008A277C" w:rsidRPr="008A277C">
                <w:rPr>
                  <w:rStyle w:val="Hyperlink"/>
                </w:rPr>
                <w:t>13650-519985710-519988262-VCS-VCU-785-VER-CN-1-438-26122015-27032016-1</w:t>
              </w:r>
            </w:hyperlink>
            <w:r w:rsidR="008A277C">
              <w:rPr>
                <w:rStyle w:val="FootnoteReference"/>
              </w:rPr>
              <w:footnoteReference w:id="9"/>
            </w:r>
          </w:p>
        </w:tc>
        <w:tc>
          <w:tcPr>
            <w:tcW w:w="85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rsidRPr="0056786B">
              <w:t>2016</w:t>
            </w:r>
          </w:p>
        </w:tc>
        <w:tc>
          <w:tcPr>
            <w:tcW w:w="105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112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2,553</w:t>
            </w:r>
          </w:p>
        </w:tc>
        <w:tc>
          <w:tcPr>
            <w:tcW w:w="112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109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0</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2,553</w:t>
            </w:r>
          </w:p>
        </w:tc>
        <w:tc>
          <w:tcPr>
            <w:tcW w:w="1276"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jc w:val="right"/>
            </w:pPr>
            <w:r>
              <w:t>21</w:t>
            </w:r>
            <w:r w:rsidRPr="0056786B">
              <w:t>%</w:t>
            </w:r>
          </w:p>
        </w:tc>
      </w:tr>
      <w:tr w:rsidR="008A277C" w:rsidRPr="0056786B" w:rsidTr="004E4A3F">
        <w:tc>
          <w:tcPr>
            <w:tcW w:w="1980" w:type="dxa"/>
            <w:tcBorders>
              <w:top w:val="single" w:sz="4" w:space="0" w:color="auto"/>
              <w:left w:val="single" w:sz="4" w:space="0" w:color="auto"/>
              <w:bottom w:val="single" w:sz="4" w:space="0" w:color="auto"/>
              <w:right w:val="single" w:sz="4" w:space="0" w:color="auto"/>
            </w:tcBorders>
          </w:tcPr>
          <w:p w:rsidR="00F652C3" w:rsidRDefault="00F652C3" w:rsidP="00F652C3">
            <w:pPr>
              <w:pStyle w:val="TableofFigures"/>
            </w:pPr>
            <w:r w:rsidRPr="00235B6A">
              <w:t>Suzhou Qizi Mountain Landfill Gas Recovery</w:t>
            </w:r>
            <w:r>
              <w:t xml:space="preserve"> </w:t>
            </w:r>
            <w:r w:rsidRPr="00235B6A">
              <w:t>Project</w:t>
            </w:r>
          </w:p>
          <w:p w:rsidR="00022AB6" w:rsidRPr="0056786B" w:rsidRDefault="00022AB6" w:rsidP="008A277C">
            <w:pPr>
              <w:pStyle w:val="TableofFigures"/>
              <w:rPr>
                <w:b/>
              </w:rPr>
            </w:pPr>
            <w:r>
              <w:rPr>
                <w:b/>
              </w:rPr>
              <w:t>Stapled to</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F652C3" w:rsidP="008A277C">
            <w:pPr>
              <w:pStyle w:val="TableofFigures"/>
            </w:pPr>
            <w:r w:rsidRPr="00F652C3">
              <w:t>GS VER</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F652C3" w:rsidP="008A277C">
            <w:pPr>
              <w:pStyle w:val="TableofFigures"/>
            </w:pPr>
            <w:r>
              <w:t>ABU</w:t>
            </w:r>
          </w:p>
        </w:tc>
        <w:tc>
          <w:tcPr>
            <w:tcW w:w="851" w:type="dxa"/>
            <w:tcBorders>
              <w:top w:val="single" w:sz="4" w:space="0" w:color="auto"/>
              <w:left w:val="single" w:sz="4" w:space="0" w:color="auto"/>
              <w:bottom w:val="single" w:sz="4" w:space="0" w:color="auto"/>
              <w:right w:val="single" w:sz="4" w:space="0" w:color="auto"/>
            </w:tcBorders>
          </w:tcPr>
          <w:p w:rsidR="008A277C" w:rsidRPr="0056786B" w:rsidRDefault="008A277C" w:rsidP="008A277C">
            <w:pPr>
              <w:pStyle w:val="TableofFigures"/>
            </w:pPr>
            <w:r>
              <w:t>18 October 2023</w:t>
            </w:r>
          </w:p>
        </w:tc>
        <w:tc>
          <w:tcPr>
            <w:tcW w:w="1984" w:type="dxa"/>
            <w:tcBorders>
              <w:top w:val="single" w:sz="4" w:space="0" w:color="auto"/>
              <w:left w:val="single" w:sz="4" w:space="0" w:color="auto"/>
              <w:bottom w:val="single" w:sz="4" w:space="0" w:color="auto"/>
              <w:right w:val="single" w:sz="4" w:space="0" w:color="auto"/>
            </w:tcBorders>
          </w:tcPr>
          <w:p w:rsidR="008A277C" w:rsidRDefault="00F652C3" w:rsidP="00F652C3">
            <w:pPr>
              <w:pStyle w:val="TableofFigures"/>
            </w:pPr>
            <w:r>
              <w:t>GS1-1-CN-GS397-21-2013-3558-89690-94613</w:t>
            </w:r>
          </w:p>
        </w:tc>
        <w:tc>
          <w:tcPr>
            <w:tcW w:w="851" w:type="dxa"/>
            <w:tcBorders>
              <w:top w:val="single" w:sz="4" w:space="0" w:color="auto"/>
              <w:left w:val="single" w:sz="4" w:space="0" w:color="auto"/>
              <w:bottom w:val="single" w:sz="4" w:space="0" w:color="auto"/>
              <w:right w:val="single" w:sz="4" w:space="0" w:color="auto"/>
            </w:tcBorders>
          </w:tcPr>
          <w:p w:rsidR="008A277C" w:rsidRPr="0056786B" w:rsidRDefault="008A277C" w:rsidP="00F652C3">
            <w:pPr>
              <w:pStyle w:val="TableofFigures"/>
              <w:jc w:val="right"/>
            </w:pPr>
            <w:r>
              <w:t>20</w:t>
            </w:r>
            <w:r w:rsidR="00F652C3">
              <w:t>20</w:t>
            </w:r>
          </w:p>
        </w:tc>
        <w:tc>
          <w:tcPr>
            <w:tcW w:w="1056" w:type="dxa"/>
            <w:tcBorders>
              <w:top w:val="single" w:sz="4" w:space="0" w:color="auto"/>
              <w:left w:val="single" w:sz="4" w:space="0" w:color="auto"/>
              <w:bottom w:val="single" w:sz="4" w:space="0" w:color="auto"/>
              <w:right w:val="single" w:sz="4" w:space="0" w:color="auto"/>
            </w:tcBorders>
          </w:tcPr>
          <w:p w:rsidR="008A277C" w:rsidRDefault="00F652C3" w:rsidP="008A277C">
            <w:pPr>
              <w:pStyle w:val="TableofFigures"/>
              <w:jc w:val="right"/>
            </w:pPr>
            <w:r>
              <w:t>N/A</w:t>
            </w:r>
          </w:p>
        </w:tc>
        <w:tc>
          <w:tcPr>
            <w:tcW w:w="1121" w:type="dxa"/>
            <w:tcBorders>
              <w:top w:val="single" w:sz="4" w:space="0" w:color="auto"/>
              <w:left w:val="single" w:sz="4" w:space="0" w:color="auto"/>
              <w:bottom w:val="single" w:sz="4" w:space="0" w:color="auto"/>
              <w:right w:val="single" w:sz="4" w:space="0" w:color="auto"/>
            </w:tcBorders>
          </w:tcPr>
          <w:p w:rsidR="008A277C" w:rsidRPr="0056786B" w:rsidRDefault="00F652C3" w:rsidP="008A277C">
            <w:pPr>
              <w:pStyle w:val="TableofFigures"/>
              <w:jc w:val="right"/>
            </w:pPr>
            <w:r>
              <w:t>4,924</w:t>
            </w:r>
          </w:p>
        </w:tc>
        <w:tc>
          <w:tcPr>
            <w:tcW w:w="1121" w:type="dxa"/>
            <w:tcBorders>
              <w:top w:val="single" w:sz="4" w:space="0" w:color="auto"/>
              <w:left w:val="single" w:sz="4" w:space="0" w:color="auto"/>
              <w:bottom w:val="single" w:sz="4" w:space="0" w:color="auto"/>
              <w:right w:val="single" w:sz="4" w:space="0" w:color="auto"/>
            </w:tcBorders>
          </w:tcPr>
          <w:p w:rsidR="008A277C" w:rsidRPr="0056786B" w:rsidRDefault="00F652C3" w:rsidP="008A277C">
            <w:pPr>
              <w:pStyle w:val="TableofFigures"/>
              <w:jc w:val="right"/>
            </w:pPr>
            <w:r>
              <w:t>0</w:t>
            </w:r>
          </w:p>
        </w:tc>
        <w:tc>
          <w:tcPr>
            <w:tcW w:w="1096" w:type="dxa"/>
            <w:tcBorders>
              <w:top w:val="single" w:sz="4" w:space="0" w:color="auto"/>
              <w:left w:val="single" w:sz="4" w:space="0" w:color="auto"/>
              <w:bottom w:val="single" w:sz="4" w:space="0" w:color="auto"/>
              <w:right w:val="single" w:sz="4" w:space="0" w:color="auto"/>
            </w:tcBorders>
          </w:tcPr>
          <w:p w:rsidR="008A277C" w:rsidRPr="0056786B" w:rsidRDefault="00F652C3" w:rsidP="008A277C">
            <w:pPr>
              <w:pStyle w:val="TableofFigures"/>
              <w:jc w:val="right"/>
            </w:pPr>
            <w:r>
              <w:t>0</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F652C3" w:rsidP="008A277C">
            <w:pPr>
              <w:pStyle w:val="TableofFigures"/>
              <w:jc w:val="right"/>
            </w:pPr>
            <w:r>
              <w:t>4,924</w:t>
            </w:r>
          </w:p>
        </w:tc>
        <w:tc>
          <w:tcPr>
            <w:tcW w:w="1276" w:type="dxa"/>
            <w:tcBorders>
              <w:top w:val="single" w:sz="4" w:space="0" w:color="auto"/>
              <w:left w:val="single" w:sz="4" w:space="0" w:color="auto"/>
              <w:bottom w:val="single" w:sz="4" w:space="0" w:color="auto"/>
              <w:right w:val="single" w:sz="4" w:space="0" w:color="auto"/>
            </w:tcBorders>
          </w:tcPr>
          <w:p w:rsidR="008A277C" w:rsidRPr="0056786B" w:rsidRDefault="00F652C3" w:rsidP="008A277C">
            <w:pPr>
              <w:pStyle w:val="TableofFigures"/>
              <w:jc w:val="right"/>
            </w:pPr>
            <w:r>
              <w:t>40%</w:t>
            </w:r>
          </w:p>
        </w:tc>
      </w:tr>
      <w:tr w:rsidR="008A277C" w:rsidRPr="0056786B" w:rsidTr="004E4A3F">
        <w:tc>
          <w:tcPr>
            <w:tcW w:w="1980" w:type="dxa"/>
            <w:tcBorders>
              <w:top w:val="single" w:sz="4" w:space="0" w:color="auto"/>
              <w:left w:val="single" w:sz="4" w:space="0" w:color="auto"/>
              <w:bottom w:val="single" w:sz="4" w:space="0" w:color="auto"/>
              <w:right w:val="single" w:sz="4" w:space="0" w:color="auto"/>
            </w:tcBorders>
          </w:tcPr>
          <w:p w:rsidR="00F652C3" w:rsidRPr="00235B6A" w:rsidRDefault="00F652C3" w:rsidP="00F652C3">
            <w:pPr>
              <w:pStyle w:val="TableofFigures"/>
            </w:pPr>
            <w:r w:rsidRPr="00022AB6">
              <w:lastRenderedPageBreak/>
              <w:t>EcoAustralia Mount Sandy Biodiversity</w:t>
            </w:r>
            <w:r>
              <w:t xml:space="preserve"> </w:t>
            </w:r>
            <w:r w:rsidRPr="00022AB6">
              <w:t>Protection</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F652C3" w:rsidP="008A277C">
            <w:pPr>
              <w:pStyle w:val="TableofFigures"/>
            </w:pPr>
            <w:r>
              <w:t>ABU</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F652C3" w:rsidP="008A277C">
            <w:pPr>
              <w:pStyle w:val="TableofFigures"/>
            </w:pPr>
            <w:r>
              <w:t>VER</w:t>
            </w:r>
          </w:p>
        </w:tc>
        <w:tc>
          <w:tcPr>
            <w:tcW w:w="851" w:type="dxa"/>
            <w:tcBorders>
              <w:top w:val="single" w:sz="4" w:space="0" w:color="auto"/>
              <w:left w:val="single" w:sz="4" w:space="0" w:color="auto"/>
              <w:bottom w:val="single" w:sz="4" w:space="0" w:color="auto"/>
              <w:right w:val="single" w:sz="4" w:space="0" w:color="auto"/>
            </w:tcBorders>
          </w:tcPr>
          <w:p w:rsidR="008A277C" w:rsidRPr="0056786B" w:rsidRDefault="00022AB6" w:rsidP="008A277C">
            <w:pPr>
              <w:pStyle w:val="TableofFigures"/>
            </w:pPr>
            <w:r>
              <w:t>18 October 2023</w:t>
            </w:r>
          </w:p>
        </w:tc>
        <w:tc>
          <w:tcPr>
            <w:tcW w:w="1984" w:type="dxa"/>
            <w:tcBorders>
              <w:top w:val="single" w:sz="4" w:space="0" w:color="auto"/>
              <w:left w:val="single" w:sz="4" w:space="0" w:color="auto"/>
              <w:bottom w:val="single" w:sz="4" w:space="0" w:color="auto"/>
              <w:right w:val="single" w:sz="4" w:space="0" w:color="auto"/>
            </w:tcBorders>
          </w:tcPr>
          <w:p w:rsidR="008A277C" w:rsidRDefault="00F652C3" w:rsidP="00235B6A">
            <w:pPr>
              <w:pStyle w:val="TableofFigures"/>
            </w:pPr>
            <w:r>
              <w:t>76226-81149</w:t>
            </w:r>
          </w:p>
        </w:tc>
        <w:tc>
          <w:tcPr>
            <w:tcW w:w="851" w:type="dxa"/>
            <w:tcBorders>
              <w:top w:val="single" w:sz="4" w:space="0" w:color="auto"/>
              <w:left w:val="single" w:sz="4" w:space="0" w:color="auto"/>
              <w:bottom w:val="single" w:sz="4" w:space="0" w:color="auto"/>
              <w:right w:val="single" w:sz="4" w:space="0" w:color="auto"/>
            </w:tcBorders>
          </w:tcPr>
          <w:p w:rsidR="008A277C" w:rsidRPr="0056786B" w:rsidRDefault="00022AB6" w:rsidP="00F652C3">
            <w:pPr>
              <w:pStyle w:val="TableofFigures"/>
              <w:jc w:val="right"/>
            </w:pPr>
            <w:r>
              <w:t>20</w:t>
            </w:r>
            <w:r w:rsidR="00F652C3">
              <w:t>13</w:t>
            </w:r>
          </w:p>
        </w:tc>
        <w:tc>
          <w:tcPr>
            <w:tcW w:w="1056" w:type="dxa"/>
            <w:tcBorders>
              <w:top w:val="single" w:sz="4" w:space="0" w:color="auto"/>
              <w:left w:val="single" w:sz="4" w:space="0" w:color="auto"/>
              <w:bottom w:val="single" w:sz="4" w:space="0" w:color="auto"/>
              <w:right w:val="single" w:sz="4" w:space="0" w:color="auto"/>
            </w:tcBorders>
          </w:tcPr>
          <w:p w:rsidR="008A277C" w:rsidRDefault="00F652C3" w:rsidP="008A277C">
            <w:pPr>
              <w:pStyle w:val="TableofFigures"/>
              <w:jc w:val="right"/>
            </w:pPr>
            <w:r>
              <w:t>4,924</w:t>
            </w:r>
          </w:p>
        </w:tc>
        <w:tc>
          <w:tcPr>
            <w:tcW w:w="1121" w:type="dxa"/>
            <w:tcBorders>
              <w:top w:val="single" w:sz="4" w:space="0" w:color="auto"/>
              <w:left w:val="single" w:sz="4" w:space="0" w:color="auto"/>
              <w:bottom w:val="single" w:sz="4" w:space="0" w:color="auto"/>
              <w:right w:val="single" w:sz="4" w:space="0" w:color="auto"/>
            </w:tcBorders>
          </w:tcPr>
          <w:p w:rsidR="008A277C" w:rsidRPr="0056786B" w:rsidRDefault="00F652C3" w:rsidP="008A277C">
            <w:pPr>
              <w:pStyle w:val="TableofFigures"/>
              <w:jc w:val="right"/>
            </w:pPr>
            <w:r>
              <w:t>N/A</w:t>
            </w:r>
          </w:p>
        </w:tc>
        <w:tc>
          <w:tcPr>
            <w:tcW w:w="1121" w:type="dxa"/>
            <w:tcBorders>
              <w:top w:val="single" w:sz="4" w:space="0" w:color="auto"/>
              <w:left w:val="single" w:sz="4" w:space="0" w:color="auto"/>
              <w:bottom w:val="single" w:sz="4" w:space="0" w:color="auto"/>
              <w:right w:val="single" w:sz="4" w:space="0" w:color="auto"/>
            </w:tcBorders>
          </w:tcPr>
          <w:p w:rsidR="008A277C" w:rsidRPr="0056786B" w:rsidRDefault="00F652C3" w:rsidP="008A277C">
            <w:pPr>
              <w:pStyle w:val="TableofFigures"/>
              <w:jc w:val="right"/>
            </w:pPr>
            <w:r>
              <w:t>N/A</w:t>
            </w:r>
          </w:p>
        </w:tc>
        <w:tc>
          <w:tcPr>
            <w:tcW w:w="1096" w:type="dxa"/>
            <w:tcBorders>
              <w:top w:val="single" w:sz="4" w:space="0" w:color="auto"/>
              <w:left w:val="single" w:sz="4" w:space="0" w:color="auto"/>
              <w:bottom w:val="single" w:sz="4" w:space="0" w:color="auto"/>
              <w:right w:val="single" w:sz="4" w:space="0" w:color="auto"/>
            </w:tcBorders>
          </w:tcPr>
          <w:p w:rsidR="008A277C" w:rsidRPr="0056786B" w:rsidRDefault="00F652C3" w:rsidP="008A277C">
            <w:pPr>
              <w:pStyle w:val="TableofFigures"/>
              <w:jc w:val="right"/>
            </w:pPr>
            <w:r>
              <w:t>N/A</w:t>
            </w:r>
          </w:p>
        </w:tc>
        <w:tc>
          <w:tcPr>
            <w:tcW w:w="992" w:type="dxa"/>
            <w:tcBorders>
              <w:top w:val="single" w:sz="4" w:space="0" w:color="auto"/>
              <w:left w:val="single" w:sz="4" w:space="0" w:color="auto"/>
              <w:bottom w:val="single" w:sz="4" w:space="0" w:color="auto"/>
              <w:right w:val="single" w:sz="4" w:space="0" w:color="auto"/>
            </w:tcBorders>
          </w:tcPr>
          <w:p w:rsidR="008A277C" w:rsidRPr="0056786B" w:rsidRDefault="00F652C3" w:rsidP="008A277C">
            <w:pPr>
              <w:pStyle w:val="TableofFigures"/>
              <w:jc w:val="right"/>
            </w:pPr>
            <w:r>
              <w:t>N/A</w:t>
            </w:r>
          </w:p>
        </w:tc>
        <w:tc>
          <w:tcPr>
            <w:tcW w:w="1276" w:type="dxa"/>
            <w:tcBorders>
              <w:top w:val="single" w:sz="4" w:space="0" w:color="auto"/>
              <w:left w:val="single" w:sz="4" w:space="0" w:color="auto"/>
              <w:bottom w:val="single" w:sz="4" w:space="0" w:color="auto"/>
              <w:right w:val="single" w:sz="4" w:space="0" w:color="auto"/>
            </w:tcBorders>
          </w:tcPr>
          <w:p w:rsidR="008A277C" w:rsidRPr="0056786B" w:rsidRDefault="00F652C3" w:rsidP="008A277C">
            <w:pPr>
              <w:pStyle w:val="TableofFigures"/>
              <w:jc w:val="right"/>
            </w:pPr>
            <w:r>
              <w:t>N/A</w:t>
            </w:r>
          </w:p>
        </w:tc>
      </w:tr>
    </w:tbl>
    <w:p w:rsidR="00022AB6" w:rsidRDefault="00022AB6" w:rsidP="00022AB6">
      <w:pPr>
        <w:spacing w:before="200"/>
      </w:pPr>
      <w:r>
        <w:t xml:space="preserve">Total eligible offsets retired and used for this report: </w:t>
      </w:r>
      <w:r w:rsidR="00F652C3">
        <w:t>12,175</w:t>
      </w:r>
    </w:p>
    <w:p w:rsidR="00022AB6" w:rsidRDefault="00022AB6" w:rsidP="00022AB6">
      <w:r w:rsidRPr="00022AB6">
        <w:t>Total eligible offsets retired this report and banked for use in future reports</w:t>
      </w:r>
      <w:r>
        <w:t>: 12</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098"/>
        <w:gridCol w:w="4536"/>
        <w:gridCol w:w="4678"/>
      </w:tblGrid>
      <w:tr w:rsidR="00022AB6" w:rsidRPr="0056786B" w:rsidTr="00022AB6">
        <w:trPr>
          <w:tblHeader/>
        </w:trPr>
        <w:tc>
          <w:tcPr>
            <w:tcW w:w="5098" w:type="dxa"/>
            <w:tcBorders>
              <w:top w:val="single" w:sz="4" w:space="0" w:color="auto"/>
              <w:left w:val="single" w:sz="4" w:space="0" w:color="auto"/>
              <w:bottom w:val="single" w:sz="4" w:space="0" w:color="auto"/>
              <w:right w:val="single" w:sz="4" w:space="0" w:color="auto"/>
            </w:tcBorders>
          </w:tcPr>
          <w:p w:rsidR="00022AB6" w:rsidRPr="0056786B" w:rsidRDefault="00022AB6" w:rsidP="002D7EC5">
            <w:pPr>
              <w:pStyle w:val="TableofFigures"/>
              <w:rPr>
                <w:b/>
              </w:rPr>
            </w:pPr>
            <w:r>
              <w:rPr>
                <w:b/>
              </w:rPr>
              <w:t>Type of offset units</w:t>
            </w:r>
          </w:p>
        </w:tc>
        <w:tc>
          <w:tcPr>
            <w:tcW w:w="4536" w:type="dxa"/>
            <w:tcBorders>
              <w:top w:val="single" w:sz="4" w:space="0" w:color="auto"/>
              <w:left w:val="single" w:sz="4" w:space="0" w:color="auto"/>
              <w:bottom w:val="single" w:sz="4" w:space="0" w:color="auto"/>
              <w:right w:val="single" w:sz="4" w:space="0" w:color="auto"/>
            </w:tcBorders>
          </w:tcPr>
          <w:p w:rsidR="00022AB6" w:rsidRPr="0056786B" w:rsidRDefault="00022AB6" w:rsidP="002D7EC5">
            <w:pPr>
              <w:pStyle w:val="TableofFigures"/>
              <w:rPr>
                <w:b/>
              </w:rPr>
            </w:pPr>
            <w:r>
              <w:rPr>
                <w:b/>
              </w:rPr>
              <w:t>Eligible quantity (used for this reporting period)</w:t>
            </w:r>
          </w:p>
        </w:tc>
        <w:tc>
          <w:tcPr>
            <w:tcW w:w="4678" w:type="dxa"/>
            <w:tcBorders>
              <w:top w:val="single" w:sz="4" w:space="0" w:color="auto"/>
              <w:left w:val="single" w:sz="4" w:space="0" w:color="auto"/>
              <w:bottom w:val="single" w:sz="4" w:space="0" w:color="auto"/>
              <w:right w:val="single" w:sz="4" w:space="0" w:color="auto"/>
            </w:tcBorders>
          </w:tcPr>
          <w:p w:rsidR="00022AB6" w:rsidRPr="0056786B" w:rsidRDefault="00554908" w:rsidP="002D7EC5">
            <w:pPr>
              <w:pStyle w:val="TableofFigures"/>
              <w:rPr>
                <w:b/>
              </w:rPr>
            </w:pPr>
            <w:r>
              <w:rPr>
                <w:b/>
              </w:rPr>
              <w:t>Percentage of total</w:t>
            </w:r>
          </w:p>
        </w:tc>
      </w:tr>
      <w:tr w:rsidR="00022AB6" w:rsidRPr="0056786B" w:rsidTr="00022AB6">
        <w:tc>
          <w:tcPr>
            <w:tcW w:w="5098" w:type="dxa"/>
            <w:tcBorders>
              <w:top w:val="single" w:sz="4" w:space="0" w:color="auto"/>
              <w:left w:val="single" w:sz="4" w:space="0" w:color="auto"/>
              <w:bottom w:val="single" w:sz="4" w:space="0" w:color="auto"/>
              <w:right w:val="single" w:sz="4" w:space="0" w:color="auto"/>
            </w:tcBorders>
          </w:tcPr>
          <w:p w:rsidR="00022AB6" w:rsidRPr="00022AB6" w:rsidRDefault="00022AB6" w:rsidP="002D7EC5">
            <w:pPr>
              <w:pStyle w:val="TableofFigures"/>
            </w:pPr>
            <w:r>
              <w:t>Verified Emissions Reductions (VRERs)</w:t>
            </w:r>
          </w:p>
        </w:tc>
        <w:tc>
          <w:tcPr>
            <w:tcW w:w="4536" w:type="dxa"/>
            <w:tcBorders>
              <w:top w:val="single" w:sz="4" w:space="0" w:color="auto"/>
              <w:left w:val="single" w:sz="4" w:space="0" w:color="auto"/>
              <w:bottom w:val="single" w:sz="4" w:space="0" w:color="auto"/>
              <w:right w:val="single" w:sz="4" w:space="0" w:color="auto"/>
            </w:tcBorders>
          </w:tcPr>
          <w:p w:rsidR="00022AB6" w:rsidRPr="0056786B" w:rsidRDefault="00554908" w:rsidP="002D7EC5">
            <w:pPr>
              <w:pStyle w:val="TableofFigures"/>
            </w:pPr>
            <w:r>
              <w:t>4,924</w:t>
            </w:r>
          </w:p>
        </w:tc>
        <w:tc>
          <w:tcPr>
            <w:tcW w:w="4678" w:type="dxa"/>
            <w:tcBorders>
              <w:top w:val="single" w:sz="4" w:space="0" w:color="auto"/>
              <w:left w:val="single" w:sz="4" w:space="0" w:color="auto"/>
              <w:bottom w:val="single" w:sz="4" w:space="0" w:color="auto"/>
              <w:right w:val="single" w:sz="4" w:space="0" w:color="auto"/>
            </w:tcBorders>
          </w:tcPr>
          <w:p w:rsidR="00022AB6" w:rsidRPr="0056786B" w:rsidRDefault="00554908" w:rsidP="002D7EC5">
            <w:pPr>
              <w:pStyle w:val="TableofFigures"/>
            </w:pPr>
            <w:r>
              <w:t>40%</w:t>
            </w:r>
          </w:p>
        </w:tc>
      </w:tr>
      <w:tr w:rsidR="00022AB6" w:rsidRPr="0056786B" w:rsidTr="00022AB6">
        <w:tc>
          <w:tcPr>
            <w:tcW w:w="5098" w:type="dxa"/>
            <w:tcBorders>
              <w:top w:val="single" w:sz="4" w:space="0" w:color="auto"/>
              <w:left w:val="single" w:sz="4" w:space="0" w:color="auto"/>
              <w:bottom w:val="single" w:sz="4" w:space="0" w:color="auto"/>
              <w:right w:val="single" w:sz="4" w:space="0" w:color="auto"/>
            </w:tcBorders>
          </w:tcPr>
          <w:p w:rsidR="00022AB6" w:rsidRPr="00022AB6" w:rsidRDefault="00022AB6" w:rsidP="002D7EC5">
            <w:pPr>
              <w:pStyle w:val="TableofFigures"/>
            </w:pPr>
            <w:r>
              <w:t>Verified Carbon Units (VCUs)</w:t>
            </w:r>
          </w:p>
        </w:tc>
        <w:tc>
          <w:tcPr>
            <w:tcW w:w="4536" w:type="dxa"/>
            <w:tcBorders>
              <w:top w:val="single" w:sz="4" w:space="0" w:color="auto"/>
              <w:left w:val="single" w:sz="4" w:space="0" w:color="auto"/>
              <w:bottom w:val="single" w:sz="4" w:space="0" w:color="auto"/>
              <w:right w:val="single" w:sz="4" w:space="0" w:color="auto"/>
            </w:tcBorders>
          </w:tcPr>
          <w:p w:rsidR="00022AB6" w:rsidRPr="0056786B" w:rsidRDefault="00554908" w:rsidP="002D7EC5">
            <w:pPr>
              <w:pStyle w:val="TableofFigures"/>
            </w:pPr>
            <w:r>
              <w:t>7,251</w:t>
            </w:r>
          </w:p>
        </w:tc>
        <w:tc>
          <w:tcPr>
            <w:tcW w:w="4678" w:type="dxa"/>
            <w:tcBorders>
              <w:top w:val="single" w:sz="4" w:space="0" w:color="auto"/>
              <w:left w:val="single" w:sz="4" w:space="0" w:color="auto"/>
              <w:bottom w:val="single" w:sz="4" w:space="0" w:color="auto"/>
              <w:right w:val="single" w:sz="4" w:space="0" w:color="auto"/>
            </w:tcBorders>
          </w:tcPr>
          <w:p w:rsidR="00022AB6" w:rsidRPr="0056786B" w:rsidRDefault="00554908" w:rsidP="002D7EC5">
            <w:pPr>
              <w:pStyle w:val="TableofFigures"/>
            </w:pPr>
            <w:r>
              <w:t>60%</w:t>
            </w:r>
          </w:p>
        </w:tc>
      </w:tr>
    </w:tbl>
    <w:p w:rsidR="00D06CE6" w:rsidRDefault="00D06CE6">
      <w:pPr>
        <w:spacing w:after="0" w:line="240" w:lineRule="auto"/>
        <w:rPr>
          <w:rFonts w:ascii="Arial Bold" w:eastAsia="MS Gothic" w:hAnsi="Arial Bold" w:hint="eastAsia"/>
          <w:bCs/>
          <w:sz w:val="28"/>
          <w:szCs w:val="32"/>
          <w:lang w:val="en-US"/>
        </w:rPr>
      </w:pPr>
      <w:r>
        <w:rPr>
          <w:rFonts w:hint="eastAsia"/>
        </w:rPr>
        <w:br w:type="page"/>
      </w:r>
    </w:p>
    <w:p w:rsidR="00D06CE6" w:rsidRDefault="00D06CE6" w:rsidP="00D06CE6">
      <w:pPr>
        <w:pStyle w:val="Heading1"/>
        <w:rPr>
          <w:rFonts w:hint="eastAsia"/>
        </w:rPr>
      </w:pPr>
      <w:bookmarkStart w:id="51" w:name="_Toc158887368"/>
      <w:r>
        <w:lastRenderedPageBreak/>
        <w:t>7. Renewable Energy Certificate (REC) Summary</w:t>
      </w:r>
      <w:bookmarkEnd w:id="51"/>
    </w:p>
    <w:p w:rsidR="00D06CE6" w:rsidRDefault="00D06CE6" w:rsidP="00D06CE6">
      <w:r w:rsidRPr="00476FCD">
        <w:t>The following RECs have been surrendered to reduce electricity emissions under the market-based reporting method</w:t>
      </w:r>
      <w:r>
        <w:t>.</w:t>
      </w:r>
    </w:p>
    <w:p w:rsidR="00D06CE6" w:rsidRPr="00476FCD" w:rsidRDefault="00D06CE6" w:rsidP="00D06CE6">
      <w:pPr>
        <w:rPr>
          <w:b/>
        </w:rPr>
      </w:pPr>
      <w:r w:rsidRPr="00476FCD">
        <w:rPr>
          <w:b/>
        </w:rPr>
        <w:t>1. Large-scale Generation Certificates (LGCs): 13,763</w:t>
      </w:r>
    </w:p>
    <w:p w:rsidR="00D06CE6" w:rsidRDefault="00D06CE6" w:rsidP="00D06CE6">
      <w:r>
        <w:t>(Note: LGCs in this table only include those surrendered voluntarily (including through PPA arrangements), and does not include those surrendered in relation to the LRET, GreenPower, and jurisdictional renewables.)</w:t>
      </w:r>
    </w:p>
    <w:p w:rsidR="00D06CE6" w:rsidRDefault="00D06CE6" w:rsidP="00D06CE6">
      <w:pPr>
        <w:pStyle w:val="Heading4"/>
        <w:rPr>
          <w:rFonts w:hint="eastAsia"/>
        </w:rPr>
      </w:pPr>
      <w:r w:rsidRPr="00B20125">
        <w:t>Melbourne City Council</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44"/>
        <w:gridCol w:w="1262"/>
        <w:gridCol w:w="755"/>
        <w:gridCol w:w="1395"/>
        <w:gridCol w:w="1947"/>
        <w:gridCol w:w="1548"/>
        <w:gridCol w:w="1538"/>
        <w:gridCol w:w="1131"/>
        <w:gridCol w:w="1118"/>
        <w:gridCol w:w="1532"/>
      </w:tblGrid>
      <w:tr w:rsidR="00D06CE6" w:rsidTr="00D06CE6">
        <w:tc>
          <w:tcPr>
            <w:tcW w:w="1944" w:type="dxa"/>
            <w:tcBorders>
              <w:top w:val="single" w:sz="4" w:space="0" w:color="auto"/>
              <w:left w:val="single" w:sz="4" w:space="0" w:color="auto"/>
              <w:bottom w:val="single" w:sz="4" w:space="0" w:color="auto"/>
              <w:right w:val="single" w:sz="4" w:space="0" w:color="auto"/>
            </w:tcBorders>
            <w:hideMark/>
          </w:tcPr>
          <w:p w:rsidR="00D06CE6" w:rsidRDefault="00D06CE6" w:rsidP="00235B6A">
            <w:pPr>
              <w:pStyle w:val="TableofFigures"/>
              <w:rPr>
                <w:rFonts w:eastAsia="Cambria"/>
                <w:b/>
                <w:sz w:val="18"/>
              </w:rPr>
            </w:pPr>
            <w:r>
              <w:br w:type="page"/>
            </w:r>
            <w:r>
              <w:rPr>
                <w:rFonts w:eastAsia="Cambria"/>
                <w:b/>
                <w:sz w:val="18"/>
              </w:rPr>
              <w:t>Project supported</w:t>
            </w:r>
            <w:r w:rsidR="00235B6A">
              <w:rPr>
                <w:rFonts w:eastAsia="Cambria"/>
                <w:b/>
                <w:sz w:val="18"/>
              </w:rPr>
              <w:t xml:space="preserve"> </w:t>
            </w:r>
            <w:r>
              <w:rPr>
                <w:rFonts w:eastAsia="Cambria"/>
                <w:b/>
                <w:sz w:val="18"/>
              </w:rPr>
              <w:t>By LGC purchase</w:t>
            </w:r>
          </w:p>
        </w:tc>
        <w:tc>
          <w:tcPr>
            <w:tcW w:w="1262" w:type="dxa"/>
            <w:tcBorders>
              <w:top w:val="single" w:sz="4" w:space="0" w:color="auto"/>
              <w:left w:val="single" w:sz="4" w:space="0" w:color="auto"/>
              <w:bottom w:val="single" w:sz="4" w:space="0" w:color="auto"/>
              <w:right w:val="single" w:sz="4" w:space="0" w:color="auto"/>
            </w:tcBorders>
          </w:tcPr>
          <w:p w:rsidR="00D06CE6" w:rsidRDefault="00D06CE6" w:rsidP="002D7EC5">
            <w:pPr>
              <w:pStyle w:val="TableofFigures"/>
              <w:rPr>
                <w:rFonts w:eastAsia="Cambria"/>
                <w:b/>
                <w:sz w:val="18"/>
              </w:rPr>
            </w:pPr>
            <w:r>
              <w:rPr>
                <w:rFonts w:eastAsia="Cambria"/>
                <w:b/>
                <w:sz w:val="18"/>
              </w:rPr>
              <w:t>Project Location</w:t>
            </w:r>
          </w:p>
        </w:tc>
        <w:tc>
          <w:tcPr>
            <w:tcW w:w="755" w:type="dxa"/>
            <w:tcBorders>
              <w:top w:val="single" w:sz="4" w:space="0" w:color="auto"/>
              <w:left w:val="single" w:sz="4" w:space="0" w:color="auto"/>
              <w:bottom w:val="single" w:sz="4" w:space="0" w:color="auto"/>
              <w:right w:val="single" w:sz="4" w:space="0" w:color="auto"/>
            </w:tcBorders>
            <w:hideMark/>
          </w:tcPr>
          <w:p w:rsidR="00D06CE6" w:rsidRDefault="00D06CE6" w:rsidP="002D7EC5">
            <w:pPr>
              <w:pStyle w:val="TableofFigures"/>
              <w:rPr>
                <w:rFonts w:eastAsia="Cambria"/>
                <w:b/>
                <w:sz w:val="18"/>
              </w:rPr>
            </w:pPr>
            <w:r>
              <w:rPr>
                <w:rFonts w:eastAsia="Cambria"/>
                <w:b/>
                <w:sz w:val="18"/>
              </w:rPr>
              <w:t>Eligible units</w:t>
            </w:r>
          </w:p>
        </w:tc>
        <w:tc>
          <w:tcPr>
            <w:tcW w:w="1395" w:type="dxa"/>
            <w:tcBorders>
              <w:top w:val="single" w:sz="4" w:space="0" w:color="auto"/>
              <w:left w:val="single" w:sz="4" w:space="0" w:color="auto"/>
              <w:bottom w:val="single" w:sz="4" w:space="0" w:color="auto"/>
              <w:right w:val="single" w:sz="4" w:space="0" w:color="auto"/>
            </w:tcBorders>
            <w:hideMark/>
          </w:tcPr>
          <w:p w:rsidR="00D06CE6" w:rsidRDefault="00D06CE6" w:rsidP="002D7EC5">
            <w:pPr>
              <w:pStyle w:val="TableofFigures"/>
              <w:rPr>
                <w:rFonts w:eastAsia="Cambria"/>
                <w:b/>
                <w:sz w:val="18"/>
              </w:rPr>
            </w:pPr>
            <w:r>
              <w:rPr>
                <w:rFonts w:eastAsia="Cambria"/>
                <w:b/>
                <w:sz w:val="18"/>
              </w:rPr>
              <w:t>Registry</w:t>
            </w:r>
          </w:p>
        </w:tc>
        <w:tc>
          <w:tcPr>
            <w:tcW w:w="1947" w:type="dxa"/>
            <w:tcBorders>
              <w:top w:val="single" w:sz="4" w:space="0" w:color="auto"/>
              <w:left w:val="single" w:sz="4" w:space="0" w:color="auto"/>
              <w:bottom w:val="single" w:sz="4" w:space="0" w:color="auto"/>
              <w:right w:val="single" w:sz="4" w:space="0" w:color="auto"/>
            </w:tcBorders>
            <w:hideMark/>
          </w:tcPr>
          <w:p w:rsidR="00D06CE6" w:rsidRDefault="00D06CE6" w:rsidP="002D7EC5">
            <w:pPr>
              <w:pStyle w:val="TableofFigures"/>
              <w:rPr>
                <w:rFonts w:eastAsia="Cambria"/>
                <w:b/>
                <w:sz w:val="18"/>
              </w:rPr>
            </w:pPr>
            <w:r>
              <w:rPr>
                <w:rFonts w:eastAsia="Cambria"/>
                <w:b/>
                <w:sz w:val="18"/>
              </w:rPr>
              <w:t>Surrender date</w:t>
            </w:r>
          </w:p>
        </w:tc>
        <w:tc>
          <w:tcPr>
            <w:tcW w:w="1548" w:type="dxa"/>
            <w:tcBorders>
              <w:top w:val="single" w:sz="4" w:space="0" w:color="auto"/>
              <w:left w:val="single" w:sz="4" w:space="0" w:color="auto"/>
              <w:bottom w:val="single" w:sz="4" w:space="0" w:color="auto"/>
              <w:right w:val="single" w:sz="4" w:space="0" w:color="auto"/>
            </w:tcBorders>
            <w:hideMark/>
          </w:tcPr>
          <w:p w:rsidR="00D06CE6" w:rsidRDefault="00D06CE6" w:rsidP="00235B6A">
            <w:pPr>
              <w:pStyle w:val="TableofFigures"/>
              <w:rPr>
                <w:rFonts w:eastAsia="Cambria"/>
                <w:b/>
                <w:sz w:val="18"/>
              </w:rPr>
            </w:pPr>
            <w:r>
              <w:rPr>
                <w:rFonts w:eastAsia="Cambria"/>
                <w:b/>
                <w:sz w:val="18"/>
              </w:rPr>
              <w:t>Accreditation</w:t>
            </w:r>
            <w:r w:rsidR="00235B6A">
              <w:rPr>
                <w:rFonts w:eastAsia="Cambria"/>
                <w:b/>
                <w:sz w:val="18"/>
              </w:rPr>
              <w:t xml:space="preserve"> </w:t>
            </w:r>
            <w:r>
              <w:rPr>
                <w:rFonts w:eastAsia="Cambria"/>
                <w:b/>
                <w:sz w:val="18"/>
              </w:rPr>
              <w:t>code (LGCs)</w:t>
            </w:r>
          </w:p>
        </w:tc>
        <w:tc>
          <w:tcPr>
            <w:tcW w:w="1538" w:type="dxa"/>
            <w:tcBorders>
              <w:top w:val="single" w:sz="4" w:space="0" w:color="auto"/>
              <w:left w:val="single" w:sz="4" w:space="0" w:color="auto"/>
              <w:bottom w:val="single" w:sz="4" w:space="0" w:color="auto"/>
              <w:right w:val="single" w:sz="4" w:space="0" w:color="auto"/>
            </w:tcBorders>
            <w:hideMark/>
          </w:tcPr>
          <w:p w:rsidR="00D06CE6" w:rsidRDefault="00D06CE6" w:rsidP="00235B6A">
            <w:pPr>
              <w:pStyle w:val="TableofFigures"/>
              <w:rPr>
                <w:rFonts w:eastAsia="Cambria"/>
                <w:b/>
                <w:sz w:val="18"/>
              </w:rPr>
            </w:pPr>
            <w:r>
              <w:rPr>
                <w:rFonts w:eastAsia="Cambria"/>
                <w:b/>
                <w:sz w:val="18"/>
              </w:rPr>
              <w:t>Certificate</w:t>
            </w:r>
            <w:r w:rsidR="00235B6A">
              <w:rPr>
                <w:rFonts w:eastAsia="Cambria"/>
                <w:b/>
                <w:sz w:val="18"/>
              </w:rPr>
              <w:t xml:space="preserve"> </w:t>
            </w:r>
            <w:r>
              <w:rPr>
                <w:rFonts w:eastAsia="Cambria"/>
                <w:b/>
                <w:sz w:val="18"/>
              </w:rPr>
              <w:t>serial number</w:t>
            </w:r>
          </w:p>
        </w:tc>
        <w:tc>
          <w:tcPr>
            <w:tcW w:w="1131" w:type="dxa"/>
            <w:tcBorders>
              <w:top w:val="single" w:sz="4" w:space="0" w:color="auto"/>
              <w:left w:val="single" w:sz="4" w:space="0" w:color="auto"/>
              <w:bottom w:val="single" w:sz="4" w:space="0" w:color="auto"/>
              <w:right w:val="single" w:sz="4" w:space="0" w:color="auto"/>
            </w:tcBorders>
            <w:hideMark/>
          </w:tcPr>
          <w:p w:rsidR="00D06CE6" w:rsidRDefault="00D06CE6" w:rsidP="00235B6A">
            <w:pPr>
              <w:pStyle w:val="TableofFigures"/>
              <w:rPr>
                <w:rFonts w:eastAsia="Cambria"/>
                <w:b/>
                <w:sz w:val="18"/>
              </w:rPr>
            </w:pPr>
            <w:r>
              <w:rPr>
                <w:rFonts w:eastAsia="Cambria"/>
                <w:b/>
                <w:sz w:val="18"/>
              </w:rPr>
              <w:t>Generation</w:t>
            </w:r>
            <w:r w:rsidR="00235B6A">
              <w:rPr>
                <w:rFonts w:eastAsia="Cambria"/>
                <w:b/>
                <w:sz w:val="18"/>
              </w:rPr>
              <w:t xml:space="preserve"> </w:t>
            </w:r>
            <w:r>
              <w:rPr>
                <w:rFonts w:eastAsia="Cambria"/>
                <w:b/>
                <w:sz w:val="18"/>
              </w:rPr>
              <w:t>year</w:t>
            </w:r>
          </w:p>
        </w:tc>
        <w:tc>
          <w:tcPr>
            <w:tcW w:w="1118" w:type="dxa"/>
            <w:tcBorders>
              <w:top w:val="single" w:sz="4" w:space="0" w:color="auto"/>
              <w:left w:val="single" w:sz="4" w:space="0" w:color="auto"/>
              <w:bottom w:val="single" w:sz="4" w:space="0" w:color="auto"/>
              <w:right w:val="single" w:sz="4" w:space="0" w:color="auto"/>
            </w:tcBorders>
            <w:hideMark/>
          </w:tcPr>
          <w:p w:rsidR="00D06CE6" w:rsidRDefault="00D06CE6" w:rsidP="00235B6A">
            <w:pPr>
              <w:pStyle w:val="TableofFigures"/>
              <w:rPr>
                <w:rFonts w:eastAsia="Cambria"/>
                <w:b/>
                <w:sz w:val="18"/>
              </w:rPr>
            </w:pPr>
            <w:r>
              <w:rPr>
                <w:rFonts w:eastAsia="Cambria"/>
                <w:b/>
                <w:sz w:val="18"/>
              </w:rPr>
              <w:t>Fuel</w:t>
            </w:r>
            <w:r w:rsidR="00235B6A">
              <w:rPr>
                <w:rFonts w:eastAsia="Cambria"/>
                <w:b/>
                <w:sz w:val="18"/>
              </w:rPr>
              <w:t xml:space="preserve"> </w:t>
            </w:r>
            <w:r>
              <w:rPr>
                <w:rFonts w:eastAsia="Cambria"/>
                <w:b/>
                <w:sz w:val="18"/>
              </w:rPr>
              <w:t>source</w:t>
            </w:r>
          </w:p>
        </w:tc>
        <w:tc>
          <w:tcPr>
            <w:tcW w:w="1532" w:type="dxa"/>
            <w:tcBorders>
              <w:top w:val="single" w:sz="4" w:space="0" w:color="auto"/>
              <w:left w:val="single" w:sz="4" w:space="0" w:color="auto"/>
              <w:bottom w:val="single" w:sz="4" w:space="0" w:color="auto"/>
              <w:right w:val="single" w:sz="4" w:space="0" w:color="auto"/>
            </w:tcBorders>
            <w:hideMark/>
          </w:tcPr>
          <w:p w:rsidR="00D06CE6" w:rsidRDefault="00D06CE6" w:rsidP="00235B6A">
            <w:pPr>
              <w:pStyle w:val="TableofFigures"/>
              <w:rPr>
                <w:rFonts w:eastAsia="Cambria"/>
                <w:b/>
                <w:sz w:val="18"/>
              </w:rPr>
            </w:pPr>
            <w:r>
              <w:rPr>
                <w:rFonts w:eastAsia="Cambria"/>
                <w:b/>
                <w:sz w:val="18"/>
              </w:rPr>
              <w:t>Quantity</w:t>
            </w:r>
            <w:r w:rsidR="00235B6A">
              <w:rPr>
                <w:rFonts w:eastAsia="Cambria"/>
                <w:b/>
                <w:sz w:val="18"/>
              </w:rPr>
              <w:t xml:space="preserve"> </w:t>
            </w:r>
            <w:r>
              <w:rPr>
                <w:rFonts w:eastAsia="Cambria"/>
                <w:b/>
                <w:sz w:val="18"/>
              </w:rPr>
              <w:t>(MWh)</w:t>
            </w:r>
          </w:p>
        </w:tc>
      </w:tr>
      <w:tr w:rsidR="00D06CE6" w:rsidTr="00D06CE6">
        <w:tc>
          <w:tcPr>
            <w:tcW w:w="1944"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Crowlands Wind Farm</w:t>
            </w:r>
          </w:p>
        </w:tc>
        <w:tc>
          <w:tcPr>
            <w:tcW w:w="1262" w:type="dxa"/>
            <w:tcBorders>
              <w:top w:val="single" w:sz="4" w:space="0" w:color="auto"/>
              <w:left w:val="single" w:sz="4" w:space="0" w:color="auto"/>
              <w:bottom w:val="single" w:sz="4" w:space="0" w:color="auto"/>
              <w:right w:val="single" w:sz="4" w:space="0" w:color="auto"/>
            </w:tcBorders>
          </w:tcPr>
          <w:p w:rsidR="00D06CE6" w:rsidRDefault="00D06CE6" w:rsidP="00D06CE6">
            <w:pPr>
              <w:pStyle w:val="TableofFigures"/>
              <w:rPr>
                <w:rFonts w:eastAsia="Cambria"/>
                <w:sz w:val="18"/>
              </w:rPr>
            </w:pPr>
            <w:r>
              <w:rPr>
                <w:rFonts w:eastAsia="Cambria"/>
                <w:sz w:val="18"/>
              </w:rPr>
              <w:t>VIC, Australia</w:t>
            </w:r>
          </w:p>
        </w:tc>
        <w:tc>
          <w:tcPr>
            <w:tcW w:w="755"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LGC</w:t>
            </w:r>
          </w:p>
        </w:tc>
        <w:tc>
          <w:tcPr>
            <w:tcW w:w="1395"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REC Registry</w:t>
            </w:r>
          </w:p>
        </w:tc>
        <w:tc>
          <w:tcPr>
            <w:tcW w:w="1947"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30 March 2023</w:t>
            </w:r>
          </w:p>
        </w:tc>
        <w:tc>
          <w:tcPr>
            <w:tcW w:w="1548"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WD00VC32</w:t>
            </w:r>
          </w:p>
        </w:tc>
        <w:tc>
          <w:tcPr>
            <w:tcW w:w="1538"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sidRPr="00D06CE6">
              <w:t>79928-83331</w:t>
            </w:r>
          </w:p>
        </w:tc>
        <w:tc>
          <w:tcPr>
            <w:tcW w:w="1131"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2022</w:t>
            </w:r>
          </w:p>
        </w:tc>
        <w:tc>
          <w:tcPr>
            <w:tcW w:w="1118"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Wind</w:t>
            </w:r>
          </w:p>
        </w:tc>
        <w:tc>
          <w:tcPr>
            <w:tcW w:w="1532" w:type="dxa"/>
            <w:tcBorders>
              <w:top w:val="single" w:sz="4" w:space="0" w:color="auto"/>
              <w:left w:val="single" w:sz="4" w:space="0" w:color="auto"/>
              <w:bottom w:val="single" w:sz="4" w:space="0" w:color="auto"/>
              <w:right w:val="single" w:sz="4" w:space="0" w:color="auto"/>
            </w:tcBorders>
            <w:hideMark/>
          </w:tcPr>
          <w:p w:rsidR="00D06CE6" w:rsidRDefault="00F652C3" w:rsidP="00D06CE6">
            <w:pPr>
              <w:pStyle w:val="TableofFigures"/>
              <w:rPr>
                <w:rFonts w:eastAsia="Cambria"/>
                <w:sz w:val="18"/>
              </w:rPr>
            </w:pPr>
            <w:r>
              <w:rPr>
                <w:rFonts w:eastAsia="Cambria"/>
                <w:sz w:val="18"/>
              </w:rPr>
              <w:t>3,404</w:t>
            </w:r>
          </w:p>
        </w:tc>
      </w:tr>
      <w:tr w:rsidR="00D06CE6" w:rsidTr="00D06CE6">
        <w:tc>
          <w:tcPr>
            <w:tcW w:w="1944"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Crowlands Wind Farm</w:t>
            </w:r>
          </w:p>
        </w:tc>
        <w:tc>
          <w:tcPr>
            <w:tcW w:w="1262" w:type="dxa"/>
            <w:tcBorders>
              <w:top w:val="single" w:sz="4" w:space="0" w:color="auto"/>
              <w:left w:val="single" w:sz="4" w:space="0" w:color="auto"/>
              <w:bottom w:val="single" w:sz="4" w:space="0" w:color="auto"/>
              <w:right w:val="single" w:sz="4" w:space="0" w:color="auto"/>
            </w:tcBorders>
          </w:tcPr>
          <w:p w:rsidR="00D06CE6" w:rsidRDefault="00D06CE6" w:rsidP="00D06CE6">
            <w:pPr>
              <w:pStyle w:val="TableofFigures"/>
              <w:rPr>
                <w:rFonts w:eastAsia="Cambria"/>
                <w:sz w:val="18"/>
              </w:rPr>
            </w:pPr>
            <w:r>
              <w:rPr>
                <w:rFonts w:eastAsia="Cambria"/>
                <w:sz w:val="18"/>
              </w:rPr>
              <w:t>VIC, Australia</w:t>
            </w:r>
          </w:p>
        </w:tc>
        <w:tc>
          <w:tcPr>
            <w:tcW w:w="755"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LGC</w:t>
            </w:r>
          </w:p>
        </w:tc>
        <w:tc>
          <w:tcPr>
            <w:tcW w:w="1395"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REC Registry</w:t>
            </w:r>
          </w:p>
        </w:tc>
        <w:tc>
          <w:tcPr>
            <w:tcW w:w="1947"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30 March 2023</w:t>
            </w:r>
          </w:p>
        </w:tc>
        <w:tc>
          <w:tcPr>
            <w:tcW w:w="1548"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WD00VC32</w:t>
            </w:r>
          </w:p>
        </w:tc>
        <w:tc>
          <w:tcPr>
            <w:tcW w:w="1538"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sidRPr="00D06CE6">
              <w:t>27963-30905</w:t>
            </w:r>
          </w:p>
        </w:tc>
        <w:tc>
          <w:tcPr>
            <w:tcW w:w="1131"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2022</w:t>
            </w:r>
          </w:p>
        </w:tc>
        <w:tc>
          <w:tcPr>
            <w:tcW w:w="1118" w:type="dxa"/>
            <w:tcBorders>
              <w:top w:val="single" w:sz="4" w:space="0" w:color="auto"/>
              <w:left w:val="single" w:sz="4" w:space="0" w:color="auto"/>
              <w:bottom w:val="single" w:sz="4" w:space="0" w:color="auto"/>
              <w:right w:val="single" w:sz="4" w:space="0" w:color="auto"/>
            </w:tcBorders>
          </w:tcPr>
          <w:p w:rsidR="00D06CE6" w:rsidRDefault="00D06CE6" w:rsidP="00D06CE6">
            <w:pPr>
              <w:pStyle w:val="TableofFigures"/>
              <w:rPr>
                <w:rFonts w:eastAsia="Cambria"/>
                <w:sz w:val="18"/>
              </w:rPr>
            </w:pPr>
            <w:r>
              <w:rPr>
                <w:rFonts w:eastAsia="Cambria"/>
                <w:sz w:val="18"/>
              </w:rPr>
              <w:t>Wind</w:t>
            </w:r>
          </w:p>
        </w:tc>
        <w:tc>
          <w:tcPr>
            <w:tcW w:w="1532" w:type="dxa"/>
            <w:tcBorders>
              <w:top w:val="single" w:sz="4" w:space="0" w:color="auto"/>
              <w:left w:val="single" w:sz="4" w:space="0" w:color="auto"/>
              <w:bottom w:val="single" w:sz="4" w:space="0" w:color="auto"/>
              <w:right w:val="single" w:sz="4" w:space="0" w:color="auto"/>
            </w:tcBorders>
            <w:hideMark/>
          </w:tcPr>
          <w:p w:rsidR="00D06CE6" w:rsidRDefault="00F652C3" w:rsidP="00D06CE6">
            <w:pPr>
              <w:pStyle w:val="TableofFigures"/>
              <w:rPr>
                <w:rFonts w:eastAsia="Cambria"/>
                <w:sz w:val="18"/>
              </w:rPr>
            </w:pPr>
            <w:r>
              <w:rPr>
                <w:rFonts w:eastAsia="Cambria"/>
                <w:sz w:val="18"/>
              </w:rPr>
              <w:t>2,943</w:t>
            </w:r>
          </w:p>
        </w:tc>
      </w:tr>
      <w:tr w:rsidR="00D06CE6" w:rsidTr="00D06CE6">
        <w:tc>
          <w:tcPr>
            <w:tcW w:w="1944"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Crowlands Wind Farm</w:t>
            </w:r>
          </w:p>
        </w:tc>
        <w:tc>
          <w:tcPr>
            <w:tcW w:w="1262" w:type="dxa"/>
            <w:tcBorders>
              <w:top w:val="single" w:sz="4" w:space="0" w:color="auto"/>
              <w:left w:val="single" w:sz="4" w:space="0" w:color="auto"/>
              <w:bottom w:val="single" w:sz="4" w:space="0" w:color="auto"/>
              <w:right w:val="single" w:sz="4" w:space="0" w:color="auto"/>
            </w:tcBorders>
          </w:tcPr>
          <w:p w:rsidR="00D06CE6" w:rsidRDefault="00D06CE6" w:rsidP="00D06CE6">
            <w:pPr>
              <w:pStyle w:val="TableofFigures"/>
              <w:rPr>
                <w:rFonts w:eastAsia="Cambria"/>
                <w:sz w:val="18"/>
              </w:rPr>
            </w:pPr>
            <w:r>
              <w:rPr>
                <w:rFonts w:eastAsia="Cambria"/>
                <w:sz w:val="18"/>
              </w:rPr>
              <w:t>VIC, Australia</w:t>
            </w:r>
          </w:p>
        </w:tc>
        <w:tc>
          <w:tcPr>
            <w:tcW w:w="755"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LGC</w:t>
            </w:r>
          </w:p>
        </w:tc>
        <w:tc>
          <w:tcPr>
            <w:tcW w:w="1395"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REC Registry</w:t>
            </w:r>
          </w:p>
        </w:tc>
        <w:tc>
          <w:tcPr>
            <w:tcW w:w="1947"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To be surrender 2024</w:t>
            </w:r>
          </w:p>
        </w:tc>
        <w:tc>
          <w:tcPr>
            <w:tcW w:w="1548"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WD00VC32</w:t>
            </w:r>
          </w:p>
        </w:tc>
        <w:tc>
          <w:tcPr>
            <w:tcW w:w="1538"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sidRPr="00D06CE6">
              <w:t>4170-7148</w:t>
            </w:r>
          </w:p>
        </w:tc>
        <w:tc>
          <w:tcPr>
            <w:tcW w:w="1131"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2023</w:t>
            </w:r>
          </w:p>
        </w:tc>
        <w:tc>
          <w:tcPr>
            <w:tcW w:w="1118" w:type="dxa"/>
            <w:tcBorders>
              <w:top w:val="single" w:sz="4" w:space="0" w:color="auto"/>
              <w:left w:val="single" w:sz="4" w:space="0" w:color="auto"/>
              <w:bottom w:val="single" w:sz="4" w:space="0" w:color="auto"/>
              <w:right w:val="single" w:sz="4" w:space="0" w:color="auto"/>
            </w:tcBorders>
          </w:tcPr>
          <w:p w:rsidR="00D06CE6" w:rsidRDefault="00D06CE6" w:rsidP="00D06CE6">
            <w:pPr>
              <w:pStyle w:val="TableofFigures"/>
              <w:rPr>
                <w:rFonts w:eastAsia="Cambria"/>
                <w:sz w:val="18"/>
              </w:rPr>
            </w:pPr>
            <w:r>
              <w:rPr>
                <w:rFonts w:eastAsia="Cambria"/>
                <w:sz w:val="18"/>
              </w:rPr>
              <w:t>Wind</w:t>
            </w:r>
          </w:p>
        </w:tc>
        <w:tc>
          <w:tcPr>
            <w:tcW w:w="1532" w:type="dxa"/>
            <w:tcBorders>
              <w:top w:val="single" w:sz="4" w:space="0" w:color="auto"/>
              <w:left w:val="single" w:sz="4" w:space="0" w:color="auto"/>
              <w:bottom w:val="single" w:sz="4" w:space="0" w:color="auto"/>
              <w:right w:val="single" w:sz="4" w:space="0" w:color="auto"/>
            </w:tcBorders>
            <w:hideMark/>
          </w:tcPr>
          <w:p w:rsidR="00D06CE6" w:rsidRDefault="00F652C3" w:rsidP="00D06CE6">
            <w:pPr>
              <w:pStyle w:val="TableofFigures"/>
              <w:rPr>
                <w:rFonts w:eastAsia="Cambria"/>
                <w:sz w:val="18"/>
              </w:rPr>
            </w:pPr>
            <w:r>
              <w:rPr>
                <w:rFonts w:eastAsia="Cambria"/>
                <w:sz w:val="18"/>
              </w:rPr>
              <w:t>2,979</w:t>
            </w:r>
          </w:p>
        </w:tc>
      </w:tr>
      <w:tr w:rsidR="00D06CE6" w:rsidTr="00D06CE6">
        <w:tc>
          <w:tcPr>
            <w:tcW w:w="1944"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Crowlands Wind Farm</w:t>
            </w:r>
          </w:p>
        </w:tc>
        <w:tc>
          <w:tcPr>
            <w:tcW w:w="1262" w:type="dxa"/>
            <w:tcBorders>
              <w:top w:val="single" w:sz="4" w:space="0" w:color="auto"/>
              <w:left w:val="single" w:sz="4" w:space="0" w:color="auto"/>
              <w:bottom w:val="single" w:sz="4" w:space="0" w:color="auto"/>
              <w:right w:val="single" w:sz="4" w:space="0" w:color="auto"/>
            </w:tcBorders>
          </w:tcPr>
          <w:p w:rsidR="00D06CE6" w:rsidRDefault="00D06CE6" w:rsidP="00D06CE6">
            <w:pPr>
              <w:pStyle w:val="TableofFigures"/>
              <w:rPr>
                <w:rFonts w:eastAsia="Cambria"/>
                <w:sz w:val="18"/>
              </w:rPr>
            </w:pPr>
            <w:r>
              <w:rPr>
                <w:rFonts w:eastAsia="Cambria"/>
                <w:sz w:val="18"/>
              </w:rPr>
              <w:t>VIC, Australia</w:t>
            </w:r>
          </w:p>
        </w:tc>
        <w:tc>
          <w:tcPr>
            <w:tcW w:w="755"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LGC</w:t>
            </w:r>
          </w:p>
        </w:tc>
        <w:tc>
          <w:tcPr>
            <w:tcW w:w="1395"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REC Registry</w:t>
            </w:r>
          </w:p>
        </w:tc>
        <w:tc>
          <w:tcPr>
            <w:tcW w:w="1947"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To be surrender 2024</w:t>
            </w:r>
          </w:p>
        </w:tc>
        <w:tc>
          <w:tcPr>
            <w:tcW w:w="1548"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WD00VC32</w:t>
            </w:r>
          </w:p>
        </w:tc>
        <w:tc>
          <w:tcPr>
            <w:tcW w:w="1538"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sidRPr="00D06CE6">
              <w:t>59761-63126</w:t>
            </w:r>
          </w:p>
        </w:tc>
        <w:tc>
          <w:tcPr>
            <w:tcW w:w="1131" w:type="dxa"/>
            <w:tcBorders>
              <w:top w:val="single" w:sz="4" w:space="0" w:color="auto"/>
              <w:left w:val="single" w:sz="4" w:space="0" w:color="auto"/>
              <w:bottom w:val="single" w:sz="4" w:space="0" w:color="auto"/>
              <w:right w:val="single" w:sz="4" w:space="0" w:color="auto"/>
            </w:tcBorders>
            <w:hideMark/>
          </w:tcPr>
          <w:p w:rsidR="00D06CE6" w:rsidRDefault="00D06CE6" w:rsidP="00D06CE6">
            <w:pPr>
              <w:pStyle w:val="TableofFigures"/>
              <w:rPr>
                <w:rFonts w:eastAsia="Cambria"/>
                <w:sz w:val="18"/>
              </w:rPr>
            </w:pPr>
            <w:r>
              <w:rPr>
                <w:rFonts w:eastAsia="Cambria"/>
                <w:sz w:val="18"/>
              </w:rPr>
              <w:t>2023</w:t>
            </w:r>
          </w:p>
        </w:tc>
        <w:tc>
          <w:tcPr>
            <w:tcW w:w="1118" w:type="dxa"/>
            <w:tcBorders>
              <w:top w:val="single" w:sz="4" w:space="0" w:color="auto"/>
              <w:left w:val="single" w:sz="4" w:space="0" w:color="auto"/>
              <w:bottom w:val="single" w:sz="4" w:space="0" w:color="auto"/>
              <w:right w:val="single" w:sz="4" w:space="0" w:color="auto"/>
            </w:tcBorders>
          </w:tcPr>
          <w:p w:rsidR="00D06CE6" w:rsidRDefault="00D06CE6" w:rsidP="00D06CE6">
            <w:pPr>
              <w:pStyle w:val="TableofFigures"/>
              <w:rPr>
                <w:rFonts w:eastAsia="Cambria"/>
                <w:sz w:val="18"/>
              </w:rPr>
            </w:pPr>
            <w:r>
              <w:rPr>
                <w:rFonts w:eastAsia="Cambria"/>
                <w:sz w:val="18"/>
              </w:rPr>
              <w:t>Wind</w:t>
            </w:r>
          </w:p>
        </w:tc>
        <w:tc>
          <w:tcPr>
            <w:tcW w:w="1532" w:type="dxa"/>
            <w:tcBorders>
              <w:top w:val="single" w:sz="4" w:space="0" w:color="auto"/>
              <w:left w:val="single" w:sz="4" w:space="0" w:color="auto"/>
              <w:bottom w:val="single" w:sz="4" w:space="0" w:color="auto"/>
              <w:right w:val="single" w:sz="4" w:space="0" w:color="auto"/>
            </w:tcBorders>
            <w:hideMark/>
          </w:tcPr>
          <w:p w:rsidR="00D06CE6" w:rsidRDefault="00F652C3" w:rsidP="00D06CE6">
            <w:pPr>
              <w:pStyle w:val="TableofFigures"/>
              <w:rPr>
                <w:rFonts w:eastAsia="Cambria"/>
                <w:sz w:val="18"/>
              </w:rPr>
            </w:pPr>
            <w:r>
              <w:rPr>
                <w:rFonts w:eastAsia="Cambria"/>
                <w:sz w:val="18"/>
              </w:rPr>
              <w:t>3,366</w:t>
            </w:r>
          </w:p>
        </w:tc>
      </w:tr>
    </w:tbl>
    <w:p w:rsidR="00D06CE6" w:rsidRPr="00B63389" w:rsidRDefault="00A51C2F" w:rsidP="00A51C2F">
      <w:pPr>
        <w:spacing w:before="200"/>
      </w:pPr>
      <w:r w:rsidRPr="00A51C2F">
        <w:t>Melbourne City Council – Total (MWh): 12,</w:t>
      </w:r>
      <w:r>
        <w:t>692</w:t>
      </w:r>
    </w:p>
    <w:p w:rsidR="00A51C2F" w:rsidRDefault="00A51C2F" w:rsidP="00A51C2F">
      <w:pPr>
        <w:pStyle w:val="Heading4"/>
        <w:rPr>
          <w:rFonts w:hint="eastAsia"/>
        </w:rPr>
      </w:pPr>
      <w:r w:rsidRPr="00B20125">
        <w:t>Melbourne City Council</w:t>
      </w:r>
      <w:r w:rsidRPr="00A51C2F">
        <w:t xml:space="preserve"> - Engineering &amp; Eng Collective</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44"/>
        <w:gridCol w:w="1262"/>
        <w:gridCol w:w="755"/>
        <w:gridCol w:w="1395"/>
        <w:gridCol w:w="1947"/>
        <w:gridCol w:w="1548"/>
        <w:gridCol w:w="1538"/>
        <w:gridCol w:w="1131"/>
        <w:gridCol w:w="1118"/>
        <w:gridCol w:w="1532"/>
      </w:tblGrid>
      <w:tr w:rsidR="00A51C2F" w:rsidTr="002D7EC5">
        <w:tc>
          <w:tcPr>
            <w:tcW w:w="1944" w:type="dxa"/>
            <w:tcBorders>
              <w:top w:val="single" w:sz="4" w:space="0" w:color="auto"/>
              <w:left w:val="single" w:sz="4" w:space="0" w:color="auto"/>
              <w:bottom w:val="single" w:sz="4" w:space="0" w:color="auto"/>
              <w:right w:val="single" w:sz="4" w:space="0" w:color="auto"/>
            </w:tcBorders>
            <w:hideMark/>
          </w:tcPr>
          <w:p w:rsidR="00A51C2F" w:rsidRDefault="00A51C2F" w:rsidP="00235B6A">
            <w:pPr>
              <w:pStyle w:val="TableofFigures"/>
              <w:rPr>
                <w:rFonts w:eastAsia="Cambria"/>
                <w:b/>
                <w:sz w:val="18"/>
              </w:rPr>
            </w:pPr>
            <w:r>
              <w:br w:type="page"/>
            </w:r>
            <w:r>
              <w:rPr>
                <w:rFonts w:eastAsia="Cambria"/>
                <w:b/>
                <w:sz w:val="18"/>
              </w:rPr>
              <w:t>Project supported</w:t>
            </w:r>
            <w:r w:rsidR="00235B6A">
              <w:rPr>
                <w:rFonts w:eastAsia="Cambria"/>
                <w:b/>
                <w:sz w:val="18"/>
              </w:rPr>
              <w:t xml:space="preserve"> </w:t>
            </w:r>
            <w:r>
              <w:rPr>
                <w:rFonts w:eastAsia="Cambria"/>
                <w:b/>
                <w:sz w:val="18"/>
              </w:rPr>
              <w:t>By LGC purchase</w:t>
            </w:r>
          </w:p>
        </w:tc>
        <w:tc>
          <w:tcPr>
            <w:tcW w:w="1262" w:type="dxa"/>
            <w:tcBorders>
              <w:top w:val="single" w:sz="4" w:space="0" w:color="auto"/>
              <w:left w:val="single" w:sz="4" w:space="0" w:color="auto"/>
              <w:bottom w:val="single" w:sz="4" w:space="0" w:color="auto"/>
              <w:right w:val="single" w:sz="4" w:space="0" w:color="auto"/>
            </w:tcBorders>
          </w:tcPr>
          <w:p w:rsidR="00A51C2F" w:rsidRDefault="00A51C2F" w:rsidP="002D7EC5">
            <w:pPr>
              <w:pStyle w:val="TableofFigures"/>
              <w:rPr>
                <w:rFonts w:eastAsia="Cambria"/>
                <w:b/>
                <w:sz w:val="18"/>
              </w:rPr>
            </w:pPr>
            <w:r>
              <w:rPr>
                <w:rFonts w:eastAsia="Cambria"/>
                <w:b/>
                <w:sz w:val="18"/>
              </w:rPr>
              <w:t>Project Location</w:t>
            </w:r>
          </w:p>
        </w:tc>
        <w:tc>
          <w:tcPr>
            <w:tcW w:w="755"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b/>
                <w:sz w:val="18"/>
              </w:rPr>
            </w:pPr>
            <w:r>
              <w:rPr>
                <w:rFonts w:eastAsia="Cambria"/>
                <w:b/>
                <w:sz w:val="18"/>
              </w:rPr>
              <w:t>Eligible units</w:t>
            </w:r>
          </w:p>
        </w:tc>
        <w:tc>
          <w:tcPr>
            <w:tcW w:w="1395"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b/>
                <w:sz w:val="18"/>
              </w:rPr>
            </w:pPr>
            <w:r>
              <w:rPr>
                <w:rFonts w:eastAsia="Cambria"/>
                <w:b/>
                <w:sz w:val="18"/>
              </w:rPr>
              <w:t>Registry</w:t>
            </w:r>
          </w:p>
        </w:tc>
        <w:tc>
          <w:tcPr>
            <w:tcW w:w="1947"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b/>
                <w:sz w:val="18"/>
              </w:rPr>
            </w:pPr>
            <w:r>
              <w:rPr>
                <w:rFonts w:eastAsia="Cambria"/>
                <w:b/>
                <w:sz w:val="18"/>
              </w:rPr>
              <w:t>Surrender date</w:t>
            </w:r>
          </w:p>
        </w:tc>
        <w:tc>
          <w:tcPr>
            <w:tcW w:w="1548" w:type="dxa"/>
            <w:tcBorders>
              <w:top w:val="single" w:sz="4" w:space="0" w:color="auto"/>
              <w:left w:val="single" w:sz="4" w:space="0" w:color="auto"/>
              <w:bottom w:val="single" w:sz="4" w:space="0" w:color="auto"/>
              <w:right w:val="single" w:sz="4" w:space="0" w:color="auto"/>
            </w:tcBorders>
            <w:hideMark/>
          </w:tcPr>
          <w:p w:rsidR="00A51C2F" w:rsidRDefault="00A51C2F" w:rsidP="00235B6A">
            <w:pPr>
              <w:pStyle w:val="TableofFigures"/>
              <w:rPr>
                <w:rFonts w:eastAsia="Cambria"/>
                <w:b/>
                <w:sz w:val="18"/>
              </w:rPr>
            </w:pPr>
            <w:r>
              <w:rPr>
                <w:rFonts w:eastAsia="Cambria"/>
                <w:b/>
                <w:sz w:val="18"/>
              </w:rPr>
              <w:t>Accreditation</w:t>
            </w:r>
            <w:r w:rsidR="00235B6A">
              <w:rPr>
                <w:rFonts w:eastAsia="Cambria"/>
                <w:b/>
                <w:sz w:val="18"/>
              </w:rPr>
              <w:t xml:space="preserve"> </w:t>
            </w:r>
            <w:r>
              <w:rPr>
                <w:rFonts w:eastAsia="Cambria"/>
                <w:b/>
                <w:sz w:val="18"/>
              </w:rPr>
              <w:t>code (LGCs)</w:t>
            </w:r>
          </w:p>
        </w:tc>
        <w:tc>
          <w:tcPr>
            <w:tcW w:w="1538" w:type="dxa"/>
            <w:tcBorders>
              <w:top w:val="single" w:sz="4" w:space="0" w:color="auto"/>
              <w:left w:val="single" w:sz="4" w:space="0" w:color="auto"/>
              <w:bottom w:val="single" w:sz="4" w:space="0" w:color="auto"/>
              <w:right w:val="single" w:sz="4" w:space="0" w:color="auto"/>
            </w:tcBorders>
            <w:hideMark/>
          </w:tcPr>
          <w:p w:rsidR="00A51C2F" w:rsidRDefault="00A51C2F" w:rsidP="00235B6A">
            <w:pPr>
              <w:pStyle w:val="TableofFigures"/>
              <w:rPr>
                <w:rFonts w:eastAsia="Cambria"/>
                <w:b/>
                <w:sz w:val="18"/>
              </w:rPr>
            </w:pPr>
            <w:r>
              <w:rPr>
                <w:rFonts w:eastAsia="Cambria"/>
                <w:b/>
                <w:sz w:val="18"/>
              </w:rPr>
              <w:t>Certificate</w:t>
            </w:r>
            <w:r w:rsidR="00235B6A">
              <w:rPr>
                <w:rFonts w:eastAsia="Cambria"/>
                <w:b/>
                <w:sz w:val="18"/>
              </w:rPr>
              <w:t xml:space="preserve"> </w:t>
            </w:r>
            <w:r>
              <w:rPr>
                <w:rFonts w:eastAsia="Cambria"/>
                <w:b/>
                <w:sz w:val="18"/>
              </w:rPr>
              <w:t>serial number</w:t>
            </w:r>
          </w:p>
        </w:tc>
        <w:tc>
          <w:tcPr>
            <w:tcW w:w="1131" w:type="dxa"/>
            <w:tcBorders>
              <w:top w:val="single" w:sz="4" w:space="0" w:color="auto"/>
              <w:left w:val="single" w:sz="4" w:space="0" w:color="auto"/>
              <w:bottom w:val="single" w:sz="4" w:space="0" w:color="auto"/>
              <w:right w:val="single" w:sz="4" w:space="0" w:color="auto"/>
            </w:tcBorders>
            <w:hideMark/>
          </w:tcPr>
          <w:p w:rsidR="00A51C2F" w:rsidRDefault="00A51C2F" w:rsidP="00235B6A">
            <w:pPr>
              <w:pStyle w:val="TableofFigures"/>
              <w:rPr>
                <w:rFonts w:eastAsia="Cambria"/>
                <w:b/>
                <w:sz w:val="18"/>
              </w:rPr>
            </w:pPr>
            <w:r>
              <w:rPr>
                <w:rFonts w:eastAsia="Cambria"/>
                <w:b/>
                <w:sz w:val="18"/>
              </w:rPr>
              <w:t>Generation</w:t>
            </w:r>
            <w:r w:rsidR="00235B6A">
              <w:rPr>
                <w:rFonts w:eastAsia="Cambria"/>
                <w:b/>
                <w:sz w:val="18"/>
              </w:rPr>
              <w:t xml:space="preserve"> </w:t>
            </w:r>
            <w:r>
              <w:rPr>
                <w:rFonts w:eastAsia="Cambria"/>
                <w:b/>
                <w:sz w:val="18"/>
              </w:rPr>
              <w:t>year</w:t>
            </w:r>
          </w:p>
        </w:tc>
        <w:tc>
          <w:tcPr>
            <w:tcW w:w="1118" w:type="dxa"/>
            <w:tcBorders>
              <w:top w:val="single" w:sz="4" w:space="0" w:color="auto"/>
              <w:left w:val="single" w:sz="4" w:space="0" w:color="auto"/>
              <w:bottom w:val="single" w:sz="4" w:space="0" w:color="auto"/>
              <w:right w:val="single" w:sz="4" w:space="0" w:color="auto"/>
            </w:tcBorders>
            <w:hideMark/>
          </w:tcPr>
          <w:p w:rsidR="00A51C2F" w:rsidRDefault="00A51C2F" w:rsidP="00235B6A">
            <w:pPr>
              <w:pStyle w:val="TableofFigures"/>
              <w:rPr>
                <w:rFonts w:eastAsia="Cambria"/>
                <w:b/>
                <w:sz w:val="18"/>
              </w:rPr>
            </w:pPr>
            <w:r>
              <w:rPr>
                <w:rFonts w:eastAsia="Cambria"/>
                <w:b/>
                <w:sz w:val="18"/>
              </w:rPr>
              <w:t>Fuel</w:t>
            </w:r>
            <w:r w:rsidR="00235B6A">
              <w:rPr>
                <w:rFonts w:eastAsia="Cambria"/>
                <w:b/>
                <w:sz w:val="18"/>
              </w:rPr>
              <w:t xml:space="preserve"> </w:t>
            </w:r>
            <w:r>
              <w:rPr>
                <w:rFonts w:eastAsia="Cambria"/>
                <w:b/>
                <w:sz w:val="18"/>
              </w:rPr>
              <w:t>source</w:t>
            </w:r>
          </w:p>
        </w:tc>
        <w:tc>
          <w:tcPr>
            <w:tcW w:w="1532" w:type="dxa"/>
            <w:tcBorders>
              <w:top w:val="single" w:sz="4" w:space="0" w:color="auto"/>
              <w:left w:val="single" w:sz="4" w:space="0" w:color="auto"/>
              <w:bottom w:val="single" w:sz="4" w:space="0" w:color="auto"/>
              <w:right w:val="single" w:sz="4" w:space="0" w:color="auto"/>
            </w:tcBorders>
            <w:hideMark/>
          </w:tcPr>
          <w:p w:rsidR="00A51C2F" w:rsidRDefault="00A51C2F" w:rsidP="00235B6A">
            <w:pPr>
              <w:pStyle w:val="TableofFigures"/>
              <w:rPr>
                <w:rFonts w:eastAsia="Cambria"/>
                <w:b/>
                <w:sz w:val="18"/>
              </w:rPr>
            </w:pPr>
            <w:r>
              <w:rPr>
                <w:rFonts w:eastAsia="Cambria"/>
                <w:b/>
                <w:sz w:val="18"/>
              </w:rPr>
              <w:t>Quantity</w:t>
            </w:r>
            <w:r w:rsidR="00235B6A">
              <w:rPr>
                <w:rFonts w:eastAsia="Cambria"/>
                <w:b/>
                <w:sz w:val="18"/>
              </w:rPr>
              <w:t xml:space="preserve"> </w:t>
            </w:r>
            <w:r>
              <w:rPr>
                <w:rFonts w:eastAsia="Cambria"/>
                <w:b/>
                <w:sz w:val="18"/>
              </w:rPr>
              <w:t>(MWh)</w:t>
            </w:r>
          </w:p>
        </w:tc>
      </w:tr>
      <w:tr w:rsidR="00A51C2F" w:rsidTr="002D7EC5">
        <w:tc>
          <w:tcPr>
            <w:tcW w:w="1944"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Crowlands Wind Farm</w:t>
            </w:r>
          </w:p>
        </w:tc>
        <w:tc>
          <w:tcPr>
            <w:tcW w:w="1262" w:type="dxa"/>
            <w:tcBorders>
              <w:top w:val="single" w:sz="4" w:space="0" w:color="auto"/>
              <w:left w:val="single" w:sz="4" w:space="0" w:color="auto"/>
              <w:bottom w:val="single" w:sz="4" w:space="0" w:color="auto"/>
              <w:right w:val="single" w:sz="4" w:space="0" w:color="auto"/>
            </w:tcBorders>
          </w:tcPr>
          <w:p w:rsidR="00A51C2F" w:rsidRDefault="00A51C2F" w:rsidP="002D7EC5">
            <w:pPr>
              <w:pStyle w:val="TableofFigures"/>
              <w:rPr>
                <w:rFonts w:eastAsia="Cambria"/>
                <w:sz w:val="18"/>
              </w:rPr>
            </w:pPr>
            <w:r>
              <w:rPr>
                <w:rFonts w:eastAsia="Cambria"/>
                <w:sz w:val="18"/>
              </w:rPr>
              <w:t>VIC, Australia</w:t>
            </w:r>
          </w:p>
        </w:tc>
        <w:tc>
          <w:tcPr>
            <w:tcW w:w="755"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LGC</w:t>
            </w:r>
          </w:p>
        </w:tc>
        <w:tc>
          <w:tcPr>
            <w:tcW w:w="1395"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REC Registry</w:t>
            </w:r>
          </w:p>
        </w:tc>
        <w:tc>
          <w:tcPr>
            <w:tcW w:w="1947"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30 March 2023</w:t>
            </w:r>
          </w:p>
        </w:tc>
        <w:tc>
          <w:tcPr>
            <w:tcW w:w="1548"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WD00VC32</w:t>
            </w:r>
          </w:p>
        </w:tc>
        <w:tc>
          <w:tcPr>
            <w:tcW w:w="1538" w:type="dxa"/>
            <w:tcBorders>
              <w:top w:val="single" w:sz="4" w:space="0" w:color="auto"/>
              <w:left w:val="single" w:sz="4" w:space="0" w:color="auto"/>
              <w:bottom w:val="single" w:sz="4" w:space="0" w:color="auto"/>
              <w:right w:val="single" w:sz="4" w:space="0" w:color="auto"/>
            </w:tcBorders>
            <w:hideMark/>
          </w:tcPr>
          <w:p w:rsidR="00A51C2F" w:rsidRDefault="00E37646" w:rsidP="00235B6A">
            <w:pPr>
              <w:pStyle w:val="TableofFigures"/>
              <w:rPr>
                <w:rFonts w:eastAsia="Cambria"/>
                <w:sz w:val="18"/>
              </w:rPr>
            </w:pPr>
            <w:r>
              <w:t>211310-</w:t>
            </w:r>
            <w:r w:rsidR="00235B6A">
              <w:t xml:space="preserve"> </w:t>
            </w:r>
            <w:r>
              <w:t>211550</w:t>
            </w:r>
          </w:p>
        </w:tc>
        <w:tc>
          <w:tcPr>
            <w:tcW w:w="1131"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2022</w:t>
            </w:r>
          </w:p>
        </w:tc>
        <w:tc>
          <w:tcPr>
            <w:tcW w:w="1118"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Wind</w:t>
            </w:r>
          </w:p>
        </w:tc>
        <w:tc>
          <w:tcPr>
            <w:tcW w:w="1532" w:type="dxa"/>
            <w:tcBorders>
              <w:top w:val="single" w:sz="4" w:space="0" w:color="auto"/>
              <w:left w:val="single" w:sz="4" w:space="0" w:color="auto"/>
              <w:bottom w:val="single" w:sz="4" w:space="0" w:color="auto"/>
              <w:right w:val="single" w:sz="4" w:space="0" w:color="auto"/>
            </w:tcBorders>
            <w:hideMark/>
          </w:tcPr>
          <w:p w:rsidR="00A51C2F" w:rsidRDefault="00E37646" w:rsidP="002D7EC5">
            <w:pPr>
              <w:pStyle w:val="TableofFigures"/>
              <w:rPr>
                <w:rFonts w:eastAsia="Cambria"/>
                <w:sz w:val="18"/>
              </w:rPr>
            </w:pPr>
            <w:r>
              <w:rPr>
                <w:rFonts w:eastAsia="Cambria"/>
                <w:sz w:val="18"/>
              </w:rPr>
              <w:t>241</w:t>
            </w:r>
          </w:p>
        </w:tc>
      </w:tr>
      <w:tr w:rsidR="00A51C2F" w:rsidTr="002D7EC5">
        <w:tc>
          <w:tcPr>
            <w:tcW w:w="1944"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Crowlands Wind Farm</w:t>
            </w:r>
          </w:p>
        </w:tc>
        <w:tc>
          <w:tcPr>
            <w:tcW w:w="1262" w:type="dxa"/>
            <w:tcBorders>
              <w:top w:val="single" w:sz="4" w:space="0" w:color="auto"/>
              <w:left w:val="single" w:sz="4" w:space="0" w:color="auto"/>
              <w:bottom w:val="single" w:sz="4" w:space="0" w:color="auto"/>
              <w:right w:val="single" w:sz="4" w:space="0" w:color="auto"/>
            </w:tcBorders>
          </w:tcPr>
          <w:p w:rsidR="00A51C2F" w:rsidRDefault="00A51C2F" w:rsidP="002D7EC5">
            <w:pPr>
              <w:pStyle w:val="TableofFigures"/>
              <w:rPr>
                <w:rFonts w:eastAsia="Cambria"/>
                <w:sz w:val="18"/>
              </w:rPr>
            </w:pPr>
            <w:r>
              <w:rPr>
                <w:rFonts w:eastAsia="Cambria"/>
                <w:sz w:val="18"/>
              </w:rPr>
              <w:t>VIC, Australia</w:t>
            </w:r>
          </w:p>
        </w:tc>
        <w:tc>
          <w:tcPr>
            <w:tcW w:w="755"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LGC</w:t>
            </w:r>
          </w:p>
        </w:tc>
        <w:tc>
          <w:tcPr>
            <w:tcW w:w="1395"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REC Registry</w:t>
            </w:r>
          </w:p>
        </w:tc>
        <w:tc>
          <w:tcPr>
            <w:tcW w:w="1947"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30 March 2023</w:t>
            </w:r>
          </w:p>
        </w:tc>
        <w:tc>
          <w:tcPr>
            <w:tcW w:w="1548"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WD00VC32</w:t>
            </w:r>
          </w:p>
        </w:tc>
        <w:tc>
          <w:tcPr>
            <w:tcW w:w="1538" w:type="dxa"/>
            <w:tcBorders>
              <w:top w:val="single" w:sz="4" w:space="0" w:color="auto"/>
              <w:left w:val="single" w:sz="4" w:space="0" w:color="auto"/>
              <w:bottom w:val="single" w:sz="4" w:space="0" w:color="auto"/>
              <w:right w:val="single" w:sz="4" w:space="0" w:color="auto"/>
            </w:tcBorders>
            <w:hideMark/>
          </w:tcPr>
          <w:p w:rsidR="00A51C2F" w:rsidRDefault="00E37646" w:rsidP="002D7EC5">
            <w:pPr>
              <w:pStyle w:val="TableofFigures"/>
              <w:rPr>
                <w:rFonts w:eastAsia="Cambria"/>
                <w:sz w:val="18"/>
              </w:rPr>
            </w:pPr>
            <w:r w:rsidRPr="00E37646">
              <w:t>30906-31136</w:t>
            </w:r>
          </w:p>
        </w:tc>
        <w:tc>
          <w:tcPr>
            <w:tcW w:w="1131"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2022</w:t>
            </w:r>
          </w:p>
        </w:tc>
        <w:tc>
          <w:tcPr>
            <w:tcW w:w="1118" w:type="dxa"/>
            <w:tcBorders>
              <w:top w:val="single" w:sz="4" w:space="0" w:color="auto"/>
              <w:left w:val="single" w:sz="4" w:space="0" w:color="auto"/>
              <w:bottom w:val="single" w:sz="4" w:space="0" w:color="auto"/>
              <w:right w:val="single" w:sz="4" w:space="0" w:color="auto"/>
            </w:tcBorders>
          </w:tcPr>
          <w:p w:rsidR="00A51C2F" w:rsidRDefault="00A51C2F" w:rsidP="002D7EC5">
            <w:pPr>
              <w:pStyle w:val="TableofFigures"/>
              <w:rPr>
                <w:rFonts w:eastAsia="Cambria"/>
                <w:sz w:val="18"/>
              </w:rPr>
            </w:pPr>
            <w:r>
              <w:rPr>
                <w:rFonts w:eastAsia="Cambria"/>
                <w:sz w:val="18"/>
              </w:rPr>
              <w:t>Wind</w:t>
            </w:r>
          </w:p>
        </w:tc>
        <w:tc>
          <w:tcPr>
            <w:tcW w:w="1532" w:type="dxa"/>
            <w:tcBorders>
              <w:top w:val="single" w:sz="4" w:space="0" w:color="auto"/>
              <w:left w:val="single" w:sz="4" w:space="0" w:color="auto"/>
              <w:bottom w:val="single" w:sz="4" w:space="0" w:color="auto"/>
              <w:right w:val="single" w:sz="4" w:space="0" w:color="auto"/>
            </w:tcBorders>
            <w:hideMark/>
          </w:tcPr>
          <w:p w:rsidR="00A51C2F" w:rsidRDefault="00E37646" w:rsidP="002D7EC5">
            <w:pPr>
              <w:pStyle w:val="TableofFigures"/>
              <w:rPr>
                <w:rFonts w:eastAsia="Cambria"/>
                <w:sz w:val="18"/>
              </w:rPr>
            </w:pPr>
            <w:r>
              <w:rPr>
                <w:rFonts w:eastAsia="Cambria"/>
                <w:sz w:val="18"/>
              </w:rPr>
              <w:t>231</w:t>
            </w:r>
          </w:p>
        </w:tc>
      </w:tr>
      <w:tr w:rsidR="00A51C2F" w:rsidTr="002D7EC5">
        <w:tc>
          <w:tcPr>
            <w:tcW w:w="1944"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Crowlands Wind Farm</w:t>
            </w:r>
          </w:p>
        </w:tc>
        <w:tc>
          <w:tcPr>
            <w:tcW w:w="1262" w:type="dxa"/>
            <w:tcBorders>
              <w:top w:val="single" w:sz="4" w:space="0" w:color="auto"/>
              <w:left w:val="single" w:sz="4" w:space="0" w:color="auto"/>
              <w:bottom w:val="single" w:sz="4" w:space="0" w:color="auto"/>
              <w:right w:val="single" w:sz="4" w:space="0" w:color="auto"/>
            </w:tcBorders>
          </w:tcPr>
          <w:p w:rsidR="00A51C2F" w:rsidRDefault="00A51C2F" w:rsidP="002D7EC5">
            <w:pPr>
              <w:pStyle w:val="TableofFigures"/>
              <w:rPr>
                <w:rFonts w:eastAsia="Cambria"/>
                <w:sz w:val="18"/>
              </w:rPr>
            </w:pPr>
            <w:r>
              <w:rPr>
                <w:rFonts w:eastAsia="Cambria"/>
                <w:sz w:val="18"/>
              </w:rPr>
              <w:t>VIC, Australia</w:t>
            </w:r>
          </w:p>
        </w:tc>
        <w:tc>
          <w:tcPr>
            <w:tcW w:w="755"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LGC</w:t>
            </w:r>
          </w:p>
        </w:tc>
        <w:tc>
          <w:tcPr>
            <w:tcW w:w="1395"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REC Registry</w:t>
            </w:r>
          </w:p>
        </w:tc>
        <w:tc>
          <w:tcPr>
            <w:tcW w:w="1947"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To be surrender 2024</w:t>
            </w:r>
          </w:p>
        </w:tc>
        <w:tc>
          <w:tcPr>
            <w:tcW w:w="1548"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WD00VC32</w:t>
            </w:r>
          </w:p>
        </w:tc>
        <w:tc>
          <w:tcPr>
            <w:tcW w:w="1538" w:type="dxa"/>
            <w:tcBorders>
              <w:top w:val="single" w:sz="4" w:space="0" w:color="auto"/>
              <w:left w:val="single" w:sz="4" w:space="0" w:color="auto"/>
              <w:bottom w:val="single" w:sz="4" w:space="0" w:color="auto"/>
              <w:right w:val="single" w:sz="4" w:space="0" w:color="auto"/>
            </w:tcBorders>
            <w:hideMark/>
          </w:tcPr>
          <w:p w:rsidR="00A51C2F" w:rsidRDefault="00E37646" w:rsidP="002D7EC5">
            <w:pPr>
              <w:pStyle w:val="TableofFigures"/>
              <w:rPr>
                <w:rFonts w:eastAsia="Cambria"/>
                <w:sz w:val="18"/>
              </w:rPr>
            </w:pPr>
            <w:r w:rsidRPr="00E37646">
              <w:t>7149-7381</w:t>
            </w:r>
          </w:p>
        </w:tc>
        <w:tc>
          <w:tcPr>
            <w:tcW w:w="1131"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2023</w:t>
            </w:r>
          </w:p>
        </w:tc>
        <w:tc>
          <w:tcPr>
            <w:tcW w:w="1118" w:type="dxa"/>
            <w:tcBorders>
              <w:top w:val="single" w:sz="4" w:space="0" w:color="auto"/>
              <w:left w:val="single" w:sz="4" w:space="0" w:color="auto"/>
              <w:bottom w:val="single" w:sz="4" w:space="0" w:color="auto"/>
              <w:right w:val="single" w:sz="4" w:space="0" w:color="auto"/>
            </w:tcBorders>
          </w:tcPr>
          <w:p w:rsidR="00A51C2F" w:rsidRDefault="00A51C2F" w:rsidP="002D7EC5">
            <w:pPr>
              <w:pStyle w:val="TableofFigures"/>
              <w:rPr>
                <w:rFonts w:eastAsia="Cambria"/>
                <w:sz w:val="18"/>
              </w:rPr>
            </w:pPr>
            <w:r>
              <w:rPr>
                <w:rFonts w:eastAsia="Cambria"/>
                <w:sz w:val="18"/>
              </w:rPr>
              <w:t>Wind</w:t>
            </w:r>
          </w:p>
        </w:tc>
        <w:tc>
          <w:tcPr>
            <w:tcW w:w="1532" w:type="dxa"/>
            <w:tcBorders>
              <w:top w:val="single" w:sz="4" w:space="0" w:color="auto"/>
              <w:left w:val="single" w:sz="4" w:space="0" w:color="auto"/>
              <w:bottom w:val="single" w:sz="4" w:space="0" w:color="auto"/>
              <w:right w:val="single" w:sz="4" w:space="0" w:color="auto"/>
            </w:tcBorders>
            <w:hideMark/>
          </w:tcPr>
          <w:p w:rsidR="00A51C2F" w:rsidRDefault="00E37646" w:rsidP="002D7EC5">
            <w:pPr>
              <w:pStyle w:val="TableofFigures"/>
              <w:rPr>
                <w:rFonts w:eastAsia="Cambria"/>
                <w:sz w:val="18"/>
              </w:rPr>
            </w:pPr>
            <w:r>
              <w:rPr>
                <w:rFonts w:eastAsia="Cambria"/>
                <w:sz w:val="18"/>
              </w:rPr>
              <w:t>233</w:t>
            </w:r>
          </w:p>
        </w:tc>
      </w:tr>
      <w:tr w:rsidR="00A51C2F" w:rsidTr="002D7EC5">
        <w:tc>
          <w:tcPr>
            <w:tcW w:w="1944"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Crowlands Wind Farm</w:t>
            </w:r>
          </w:p>
        </w:tc>
        <w:tc>
          <w:tcPr>
            <w:tcW w:w="1262" w:type="dxa"/>
            <w:tcBorders>
              <w:top w:val="single" w:sz="4" w:space="0" w:color="auto"/>
              <w:left w:val="single" w:sz="4" w:space="0" w:color="auto"/>
              <w:bottom w:val="single" w:sz="4" w:space="0" w:color="auto"/>
              <w:right w:val="single" w:sz="4" w:space="0" w:color="auto"/>
            </w:tcBorders>
          </w:tcPr>
          <w:p w:rsidR="00A51C2F" w:rsidRDefault="00A51C2F" w:rsidP="002D7EC5">
            <w:pPr>
              <w:pStyle w:val="TableofFigures"/>
              <w:rPr>
                <w:rFonts w:eastAsia="Cambria"/>
                <w:sz w:val="18"/>
              </w:rPr>
            </w:pPr>
            <w:r>
              <w:rPr>
                <w:rFonts w:eastAsia="Cambria"/>
                <w:sz w:val="18"/>
              </w:rPr>
              <w:t>VIC, Australia</w:t>
            </w:r>
          </w:p>
        </w:tc>
        <w:tc>
          <w:tcPr>
            <w:tcW w:w="755"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LGC</w:t>
            </w:r>
          </w:p>
        </w:tc>
        <w:tc>
          <w:tcPr>
            <w:tcW w:w="1395"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REC Registry</w:t>
            </w:r>
          </w:p>
        </w:tc>
        <w:tc>
          <w:tcPr>
            <w:tcW w:w="1947"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To be surrender 2024</w:t>
            </w:r>
          </w:p>
        </w:tc>
        <w:tc>
          <w:tcPr>
            <w:tcW w:w="1548"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WD00VC32</w:t>
            </w:r>
          </w:p>
        </w:tc>
        <w:tc>
          <w:tcPr>
            <w:tcW w:w="1538" w:type="dxa"/>
            <w:tcBorders>
              <w:top w:val="single" w:sz="4" w:space="0" w:color="auto"/>
              <w:left w:val="single" w:sz="4" w:space="0" w:color="auto"/>
              <w:bottom w:val="single" w:sz="4" w:space="0" w:color="auto"/>
              <w:right w:val="single" w:sz="4" w:space="0" w:color="auto"/>
            </w:tcBorders>
            <w:hideMark/>
          </w:tcPr>
          <w:p w:rsidR="00A51C2F" w:rsidRDefault="00E37646" w:rsidP="002D7EC5">
            <w:pPr>
              <w:pStyle w:val="TableofFigures"/>
              <w:rPr>
                <w:rFonts w:eastAsia="Cambria"/>
                <w:sz w:val="18"/>
              </w:rPr>
            </w:pPr>
            <w:r w:rsidRPr="00E37646">
              <w:t>74919-75151</w:t>
            </w:r>
          </w:p>
        </w:tc>
        <w:tc>
          <w:tcPr>
            <w:tcW w:w="1131" w:type="dxa"/>
            <w:tcBorders>
              <w:top w:val="single" w:sz="4" w:space="0" w:color="auto"/>
              <w:left w:val="single" w:sz="4" w:space="0" w:color="auto"/>
              <w:bottom w:val="single" w:sz="4" w:space="0" w:color="auto"/>
              <w:right w:val="single" w:sz="4" w:space="0" w:color="auto"/>
            </w:tcBorders>
            <w:hideMark/>
          </w:tcPr>
          <w:p w:rsidR="00A51C2F" w:rsidRDefault="00A51C2F" w:rsidP="002D7EC5">
            <w:pPr>
              <w:pStyle w:val="TableofFigures"/>
              <w:rPr>
                <w:rFonts w:eastAsia="Cambria"/>
                <w:sz w:val="18"/>
              </w:rPr>
            </w:pPr>
            <w:r>
              <w:rPr>
                <w:rFonts w:eastAsia="Cambria"/>
                <w:sz w:val="18"/>
              </w:rPr>
              <w:t>2023</w:t>
            </w:r>
          </w:p>
        </w:tc>
        <w:tc>
          <w:tcPr>
            <w:tcW w:w="1118" w:type="dxa"/>
            <w:tcBorders>
              <w:top w:val="single" w:sz="4" w:space="0" w:color="auto"/>
              <w:left w:val="single" w:sz="4" w:space="0" w:color="auto"/>
              <w:bottom w:val="single" w:sz="4" w:space="0" w:color="auto"/>
              <w:right w:val="single" w:sz="4" w:space="0" w:color="auto"/>
            </w:tcBorders>
          </w:tcPr>
          <w:p w:rsidR="00A51C2F" w:rsidRDefault="00A51C2F" w:rsidP="002D7EC5">
            <w:pPr>
              <w:pStyle w:val="TableofFigures"/>
              <w:rPr>
                <w:rFonts w:eastAsia="Cambria"/>
                <w:sz w:val="18"/>
              </w:rPr>
            </w:pPr>
            <w:r>
              <w:rPr>
                <w:rFonts w:eastAsia="Cambria"/>
                <w:sz w:val="18"/>
              </w:rPr>
              <w:t>Wind</w:t>
            </w:r>
          </w:p>
        </w:tc>
        <w:tc>
          <w:tcPr>
            <w:tcW w:w="1532" w:type="dxa"/>
            <w:tcBorders>
              <w:top w:val="single" w:sz="4" w:space="0" w:color="auto"/>
              <w:left w:val="single" w:sz="4" w:space="0" w:color="auto"/>
              <w:bottom w:val="single" w:sz="4" w:space="0" w:color="auto"/>
              <w:right w:val="single" w:sz="4" w:space="0" w:color="auto"/>
            </w:tcBorders>
            <w:hideMark/>
          </w:tcPr>
          <w:p w:rsidR="00A51C2F" w:rsidRDefault="00E37646" w:rsidP="002D7EC5">
            <w:pPr>
              <w:pStyle w:val="TableofFigures"/>
              <w:rPr>
                <w:rFonts w:eastAsia="Cambria"/>
                <w:sz w:val="18"/>
              </w:rPr>
            </w:pPr>
            <w:r>
              <w:rPr>
                <w:rFonts w:eastAsia="Cambria"/>
                <w:sz w:val="18"/>
              </w:rPr>
              <w:t>233</w:t>
            </w:r>
          </w:p>
        </w:tc>
      </w:tr>
    </w:tbl>
    <w:p w:rsidR="00A51C2F" w:rsidRDefault="00E37646" w:rsidP="00A51C2F">
      <w:pPr>
        <w:spacing w:before="200"/>
      </w:pPr>
      <w:r>
        <w:t xml:space="preserve">Melbourne City Council </w:t>
      </w:r>
      <w:r w:rsidRPr="00A51C2F">
        <w:t>- Engineering &amp; Eng Collective</w:t>
      </w:r>
      <w:r w:rsidR="00A51C2F" w:rsidRPr="00A51C2F">
        <w:t xml:space="preserve"> Total (MWh): </w:t>
      </w:r>
      <w:r>
        <w:t>938</w:t>
      </w:r>
    </w:p>
    <w:p w:rsidR="00E37646" w:rsidRDefault="00E37646" w:rsidP="00E37646">
      <w:pPr>
        <w:pStyle w:val="Heading4"/>
        <w:rPr>
          <w:rFonts w:hint="eastAsia"/>
        </w:rPr>
      </w:pPr>
      <w:r w:rsidRPr="00E37646">
        <w:t>Citywide Service Solutions Pty Ltd</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44"/>
        <w:gridCol w:w="1262"/>
        <w:gridCol w:w="755"/>
        <w:gridCol w:w="1395"/>
        <w:gridCol w:w="1947"/>
        <w:gridCol w:w="1548"/>
        <w:gridCol w:w="1538"/>
        <w:gridCol w:w="1131"/>
        <w:gridCol w:w="1118"/>
        <w:gridCol w:w="1532"/>
      </w:tblGrid>
      <w:tr w:rsidR="00E37646" w:rsidTr="002D7EC5">
        <w:tc>
          <w:tcPr>
            <w:tcW w:w="1944" w:type="dxa"/>
            <w:tcBorders>
              <w:top w:val="single" w:sz="4" w:space="0" w:color="auto"/>
              <w:left w:val="single" w:sz="4" w:space="0" w:color="auto"/>
              <w:bottom w:val="single" w:sz="4" w:space="0" w:color="auto"/>
              <w:right w:val="single" w:sz="4" w:space="0" w:color="auto"/>
            </w:tcBorders>
            <w:hideMark/>
          </w:tcPr>
          <w:p w:rsidR="00E37646" w:rsidRDefault="00E37646" w:rsidP="00235B6A">
            <w:pPr>
              <w:pStyle w:val="TableofFigures"/>
              <w:rPr>
                <w:rFonts w:eastAsia="Cambria"/>
                <w:b/>
                <w:sz w:val="18"/>
              </w:rPr>
            </w:pPr>
            <w:r>
              <w:lastRenderedPageBreak/>
              <w:br w:type="page"/>
            </w:r>
            <w:r>
              <w:rPr>
                <w:rFonts w:eastAsia="Cambria"/>
                <w:b/>
                <w:sz w:val="18"/>
              </w:rPr>
              <w:t>Project supported</w:t>
            </w:r>
            <w:r w:rsidR="00235B6A">
              <w:rPr>
                <w:rFonts w:eastAsia="Cambria"/>
                <w:b/>
                <w:sz w:val="18"/>
              </w:rPr>
              <w:t xml:space="preserve"> </w:t>
            </w:r>
            <w:r>
              <w:rPr>
                <w:rFonts w:eastAsia="Cambria"/>
                <w:b/>
                <w:sz w:val="18"/>
              </w:rPr>
              <w:t>By LGC purchase</w:t>
            </w:r>
          </w:p>
        </w:tc>
        <w:tc>
          <w:tcPr>
            <w:tcW w:w="1262" w:type="dxa"/>
            <w:tcBorders>
              <w:top w:val="single" w:sz="4" w:space="0" w:color="auto"/>
              <w:left w:val="single" w:sz="4" w:space="0" w:color="auto"/>
              <w:bottom w:val="single" w:sz="4" w:space="0" w:color="auto"/>
              <w:right w:val="single" w:sz="4" w:space="0" w:color="auto"/>
            </w:tcBorders>
          </w:tcPr>
          <w:p w:rsidR="00E37646" w:rsidRDefault="00E37646" w:rsidP="002D7EC5">
            <w:pPr>
              <w:pStyle w:val="TableofFigures"/>
              <w:rPr>
                <w:rFonts w:eastAsia="Cambria"/>
                <w:b/>
                <w:sz w:val="18"/>
              </w:rPr>
            </w:pPr>
            <w:r>
              <w:rPr>
                <w:rFonts w:eastAsia="Cambria"/>
                <w:b/>
                <w:sz w:val="18"/>
              </w:rPr>
              <w:t>Project Location</w:t>
            </w:r>
          </w:p>
        </w:tc>
        <w:tc>
          <w:tcPr>
            <w:tcW w:w="755"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b/>
                <w:sz w:val="18"/>
              </w:rPr>
            </w:pPr>
            <w:r>
              <w:rPr>
                <w:rFonts w:eastAsia="Cambria"/>
                <w:b/>
                <w:sz w:val="18"/>
              </w:rPr>
              <w:t>Eligible units</w:t>
            </w:r>
          </w:p>
        </w:tc>
        <w:tc>
          <w:tcPr>
            <w:tcW w:w="1395"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b/>
                <w:sz w:val="18"/>
              </w:rPr>
            </w:pPr>
            <w:r>
              <w:rPr>
                <w:rFonts w:eastAsia="Cambria"/>
                <w:b/>
                <w:sz w:val="18"/>
              </w:rPr>
              <w:t>Registry</w:t>
            </w:r>
          </w:p>
        </w:tc>
        <w:tc>
          <w:tcPr>
            <w:tcW w:w="1947"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b/>
                <w:sz w:val="18"/>
              </w:rPr>
            </w:pPr>
            <w:r>
              <w:rPr>
                <w:rFonts w:eastAsia="Cambria"/>
                <w:b/>
                <w:sz w:val="18"/>
              </w:rPr>
              <w:t>Surrender date</w:t>
            </w:r>
          </w:p>
        </w:tc>
        <w:tc>
          <w:tcPr>
            <w:tcW w:w="1548" w:type="dxa"/>
            <w:tcBorders>
              <w:top w:val="single" w:sz="4" w:space="0" w:color="auto"/>
              <w:left w:val="single" w:sz="4" w:space="0" w:color="auto"/>
              <w:bottom w:val="single" w:sz="4" w:space="0" w:color="auto"/>
              <w:right w:val="single" w:sz="4" w:space="0" w:color="auto"/>
            </w:tcBorders>
            <w:hideMark/>
          </w:tcPr>
          <w:p w:rsidR="00E37646" w:rsidRDefault="00E37646" w:rsidP="00235B6A">
            <w:pPr>
              <w:pStyle w:val="TableofFigures"/>
              <w:rPr>
                <w:rFonts w:eastAsia="Cambria"/>
                <w:b/>
                <w:sz w:val="18"/>
              </w:rPr>
            </w:pPr>
            <w:r>
              <w:rPr>
                <w:rFonts w:eastAsia="Cambria"/>
                <w:b/>
                <w:sz w:val="18"/>
              </w:rPr>
              <w:t>Accreditation</w:t>
            </w:r>
            <w:r w:rsidR="00235B6A">
              <w:rPr>
                <w:rFonts w:eastAsia="Cambria"/>
                <w:b/>
                <w:sz w:val="18"/>
              </w:rPr>
              <w:t xml:space="preserve"> </w:t>
            </w:r>
            <w:r>
              <w:rPr>
                <w:rFonts w:eastAsia="Cambria"/>
                <w:b/>
                <w:sz w:val="18"/>
              </w:rPr>
              <w:t>code (LGCs)</w:t>
            </w:r>
          </w:p>
        </w:tc>
        <w:tc>
          <w:tcPr>
            <w:tcW w:w="1538" w:type="dxa"/>
            <w:tcBorders>
              <w:top w:val="single" w:sz="4" w:space="0" w:color="auto"/>
              <w:left w:val="single" w:sz="4" w:space="0" w:color="auto"/>
              <w:bottom w:val="single" w:sz="4" w:space="0" w:color="auto"/>
              <w:right w:val="single" w:sz="4" w:space="0" w:color="auto"/>
            </w:tcBorders>
            <w:hideMark/>
          </w:tcPr>
          <w:p w:rsidR="00E37646" w:rsidRDefault="00E37646" w:rsidP="00235B6A">
            <w:pPr>
              <w:pStyle w:val="TableofFigures"/>
              <w:rPr>
                <w:rFonts w:eastAsia="Cambria"/>
                <w:b/>
                <w:sz w:val="18"/>
              </w:rPr>
            </w:pPr>
            <w:r>
              <w:rPr>
                <w:rFonts w:eastAsia="Cambria"/>
                <w:b/>
                <w:sz w:val="18"/>
              </w:rPr>
              <w:t>Certificate</w:t>
            </w:r>
            <w:r w:rsidR="00235B6A">
              <w:rPr>
                <w:rFonts w:eastAsia="Cambria"/>
                <w:b/>
                <w:sz w:val="18"/>
              </w:rPr>
              <w:t xml:space="preserve"> </w:t>
            </w:r>
            <w:r>
              <w:rPr>
                <w:rFonts w:eastAsia="Cambria"/>
                <w:b/>
                <w:sz w:val="18"/>
              </w:rPr>
              <w:t>serial number</w:t>
            </w:r>
          </w:p>
        </w:tc>
        <w:tc>
          <w:tcPr>
            <w:tcW w:w="1131" w:type="dxa"/>
            <w:tcBorders>
              <w:top w:val="single" w:sz="4" w:space="0" w:color="auto"/>
              <w:left w:val="single" w:sz="4" w:space="0" w:color="auto"/>
              <w:bottom w:val="single" w:sz="4" w:space="0" w:color="auto"/>
              <w:right w:val="single" w:sz="4" w:space="0" w:color="auto"/>
            </w:tcBorders>
            <w:hideMark/>
          </w:tcPr>
          <w:p w:rsidR="00E37646" w:rsidRDefault="00E37646" w:rsidP="00235B6A">
            <w:pPr>
              <w:pStyle w:val="TableofFigures"/>
              <w:rPr>
                <w:rFonts w:eastAsia="Cambria"/>
                <w:b/>
                <w:sz w:val="18"/>
              </w:rPr>
            </w:pPr>
            <w:r>
              <w:rPr>
                <w:rFonts w:eastAsia="Cambria"/>
                <w:b/>
                <w:sz w:val="18"/>
              </w:rPr>
              <w:t>Generation</w:t>
            </w:r>
            <w:r w:rsidR="00235B6A">
              <w:rPr>
                <w:rFonts w:eastAsia="Cambria"/>
                <w:b/>
                <w:sz w:val="18"/>
              </w:rPr>
              <w:t xml:space="preserve"> </w:t>
            </w:r>
            <w:r>
              <w:rPr>
                <w:rFonts w:eastAsia="Cambria"/>
                <w:b/>
                <w:sz w:val="18"/>
              </w:rPr>
              <w:t>year</w:t>
            </w:r>
          </w:p>
        </w:tc>
        <w:tc>
          <w:tcPr>
            <w:tcW w:w="1118" w:type="dxa"/>
            <w:tcBorders>
              <w:top w:val="single" w:sz="4" w:space="0" w:color="auto"/>
              <w:left w:val="single" w:sz="4" w:space="0" w:color="auto"/>
              <w:bottom w:val="single" w:sz="4" w:space="0" w:color="auto"/>
              <w:right w:val="single" w:sz="4" w:space="0" w:color="auto"/>
            </w:tcBorders>
            <w:hideMark/>
          </w:tcPr>
          <w:p w:rsidR="00E37646" w:rsidRDefault="00E37646" w:rsidP="00235B6A">
            <w:pPr>
              <w:pStyle w:val="TableofFigures"/>
              <w:rPr>
                <w:rFonts w:eastAsia="Cambria"/>
                <w:b/>
                <w:sz w:val="18"/>
              </w:rPr>
            </w:pPr>
            <w:r>
              <w:rPr>
                <w:rFonts w:eastAsia="Cambria"/>
                <w:b/>
                <w:sz w:val="18"/>
              </w:rPr>
              <w:t>Fuel</w:t>
            </w:r>
            <w:r w:rsidR="00235B6A">
              <w:rPr>
                <w:rFonts w:eastAsia="Cambria"/>
                <w:b/>
                <w:sz w:val="18"/>
              </w:rPr>
              <w:t xml:space="preserve"> </w:t>
            </w:r>
            <w:r>
              <w:rPr>
                <w:rFonts w:eastAsia="Cambria"/>
                <w:b/>
                <w:sz w:val="18"/>
              </w:rPr>
              <w:t>source</w:t>
            </w:r>
          </w:p>
        </w:tc>
        <w:tc>
          <w:tcPr>
            <w:tcW w:w="1532" w:type="dxa"/>
            <w:tcBorders>
              <w:top w:val="single" w:sz="4" w:space="0" w:color="auto"/>
              <w:left w:val="single" w:sz="4" w:space="0" w:color="auto"/>
              <w:bottom w:val="single" w:sz="4" w:space="0" w:color="auto"/>
              <w:right w:val="single" w:sz="4" w:space="0" w:color="auto"/>
            </w:tcBorders>
            <w:hideMark/>
          </w:tcPr>
          <w:p w:rsidR="00E37646" w:rsidRDefault="00E37646" w:rsidP="00235B6A">
            <w:pPr>
              <w:pStyle w:val="TableofFigures"/>
              <w:rPr>
                <w:rFonts w:eastAsia="Cambria"/>
                <w:b/>
                <w:sz w:val="18"/>
              </w:rPr>
            </w:pPr>
            <w:r>
              <w:rPr>
                <w:rFonts w:eastAsia="Cambria"/>
                <w:b/>
                <w:sz w:val="18"/>
              </w:rPr>
              <w:t>Quantity</w:t>
            </w:r>
            <w:r w:rsidR="00235B6A">
              <w:rPr>
                <w:rFonts w:eastAsia="Cambria"/>
                <w:b/>
                <w:sz w:val="18"/>
              </w:rPr>
              <w:t xml:space="preserve"> </w:t>
            </w:r>
            <w:r>
              <w:rPr>
                <w:rFonts w:eastAsia="Cambria"/>
                <w:b/>
                <w:sz w:val="18"/>
              </w:rPr>
              <w:t>(MWh)</w:t>
            </w:r>
          </w:p>
        </w:tc>
      </w:tr>
      <w:tr w:rsidR="00E37646" w:rsidTr="002D7EC5">
        <w:tc>
          <w:tcPr>
            <w:tcW w:w="1944"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Crowlands Wind Farm</w:t>
            </w:r>
          </w:p>
        </w:tc>
        <w:tc>
          <w:tcPr>
            <w:tcW w:w="1262" w:type="dxa"/>
            <w:tcBorders>
              <w:top w:val="single" w:sz="4" w:space="0" w:color="auto"/>
              <w:left w:val="single" w:sz="4" w:space="0" w:color="auto"/>
              <w:bottom w:val="single" w:sz="4" w:space="0" w:color="auto"/>
              <w:right w:val="single" w:sz="4" w:space="0" w:color="auto"/>
            </w:tcBorders>
          </w:tcPr>
          <w:p w:rsidR="00E37646" w:rsidRDefault="00E37646" w:rsidP="002D7EC5">
            <w:pPr>
              <w:pStyle w:val="TableofFigures"/>
              <w:rPr>
                <w:rFonts w:eastAsia="Cambria"/>
                <w:sz w:val="18"/>
              </w:rPr>
            </w:pPr>
            <w:r>
              <w:rPr>
                <w:rFonts w:eastAsia="Cambria"/>
                <w:sz w:val="18"/>
              </w:rPr>
              <w:t>VIC, Australia</w:t>
            </w:r>
          </w:p>
        </w:tc>
        <w:tc>
          <w:tcPr>
            <w:tcW w:w="755"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LGC</w:t>
            </w:r>
          </w:p>
        </w:tc>
        <w:tc>
          <w:tcPr>
            <w:tcW w:w="1395"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REC Registry</w:t>
            </w:r>
          </w:p>
        </w:tc>
        <w:tc>
          <w:tcPr>
            <w:tcW w:w="1947"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30 March 2023</w:t>
            </w:r>
          </w:p>
        </w:tc>
        <w:tc>
          <w:tcPr>
            <w:tcW w:w="1548"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WD00VC32</w:t>
            </w:r>
          </w:p>
        </w:tc>
        <w:tc>
          <w:tcPr>
            <w:tcW w:w="1538" w:type="dxa"/>
            <w:tcBorders>
              <w:top w:val="single" w:sz="4" w:space="0" w:color="auto"/>
              <w:left w:val="single" w:sz="4" w:space="0" w:color="auto"/>
              <w:bottom w:val="single" w:sz="4" w:space="0" w:color="auto"/>
              <w:right w:val="single" w:sz="4" w:space="0" w:color="auto"/>
            </w:tcBorders>
            <w:hideMark/>
          </w:tcPr>
          <w:p w:rsidR="00E37646" w:rsidRDefault="00E37646" w:rsidP="00235B6A">
            <w:pPr>
              <w:pStyle w:val="TableofFigures"/>
              <w:rPr>
                <w:rFonts w:eastAsia="Cambria"/>
                <w:sz w:val="18"/>
              </w:rPr>
            </w:pPr>
            <w:r>
              <w:t>176704-176895</w:t>
            </w:r>
          </w:p>
        </w:tc>
        <w:tc>
          <w:tcPr>
            <w:tcW w:w="1131"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2022</w:t>
            </w:r>
          </w:p>
        </w:tc>
        <w:tc>
          <w:tcPr>
            <w:tcW w:w="1118"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Wind</w:t>
            </w:r>
          </w:p>
        </w:tc>
        <w:tc>
          <w:tcPr>
            <w:tcW w:w="1532"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192</w:t>
            </w:r>
          </w:p>
        </w:tc>
      </w:tr>
      <w:tr w:rsidR="00E37646" w:rsidTr="002D7EC5">
        <w:tc>
          <w:tcPr>
            <w:tcW w:w="1944"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Crowlands Wind Farm</w:t>
            </w:r>
          </w:p>
        </w:tc>
        <w:tc>
          <w:tcPr>
            <w:tcW w:w="1262" w:type="dxa"/>
            <w:tcBorders>
              <w:top w:val="single" w:sz="4" w:space="0" w:color="auto"/>
              <w:left w:val="single" w:sz="4" w:space="0" w:color="auto"/>
              <w:bottom w:val="single" w:sz="4" w:space="0" w:color="auto"/>
              <w:right w:val="single" w:sz="4" w:space="0" w:color="auto"/>
            </w:tcBorders>
          </w:tcPr>
          <w:p w:rsidR="00E37646" w:rsidRDefault="00E37646" w:rsidP="002D7EC5">
            <w:pPr>
              <w:pStyle w:val="TableofFigures"/>
              <w:rPr>
                <w:rFonts w:eastAsia="Cambria"/>
                <w:sz w:val="18"/>
              </w:rPr>
            </w:pPr>
            <w:r>
              <w:rPr>
                <w:rFonts w:eastAsia="Cambria"/>
                <w:sz w:val="18"/>
              </w:rPr>
              <w:t>VIC, Australia</w:t>
            </w:r>
          </w:p>
        </w:tc>
        <w:tc>
          <w:tcPr>
            <w:tcW w:w="755"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LGC</w:t>
            </w:r>
          </w:p>
        </w:tc>
        <w:tc>
          <w:tcPr>
            <w:tcW w:w="1395"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REC Registry</w:t>
            </w:r>
          </w:p>
        </w:tc>
        <w:tc>
          <w:tcPr>
            <w:tcW w:w="1947"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30 March 2023</w:t>
            </w:r>
          </w:p>
        </w:tc>
        <w:tc>
          <w:tcPr>
            <w:tcW w:w="1548"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WD00VC32</w:t>
            </w:r>
          </w:p>
        </w:tc>
        <w:tc>
          <w:tcPr>
            <w:tcW w:w="1538" w:type="dxa"/>
            <w:tcBorders>
              <w:top w:val="single" w:sz="4" w:space="0" w:color="auto"/>
              <w:left w:val="single" w:sz="4" w:space="0" w:color="auto"/>
              <w:bottom w:val="single" w:sz="4" w:space="0" w:color="auto"/>
              <w:right w:val="single" w:sz="4" w:space="0" w:color="auto"/>
            </w:tcBorders>
            <w:hideMark/>
          </w:tcPr>
          <w:p w:rsidR="00E37646" w:rsidRDefault="00E37646" w:rsidP="00235B6A">
            <w:pPr>
              <w:pStyle w:val="TableofFigures"/>
              <w:rPr>
                <w:rFonts w:eastAsia="Cambria"/>
                <w:sz w:val="18"/>
              </w:rPr>
            </w:pPr>
            <w:r>
              <w:t>176896-177046</w:t>
            </w:r>
          </w:p>
        </w:tc>
        <w:tc>
          <w:tcPr>
            <w:tcW w:w="1131"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2022</w:t>
            </w:r>
          </w:p>
        </w:tc>
        <w:tc>
          <w:tcPr>
            <w:tcW w:w="1118" w:type="dxa"/>
            <w:tcBorders>
              <w:top w:val="single" w:sz="4" w:space="0" w:color="auto"/>
              <w:left w:val="single" w:sz="4" w:space="0" w:color="auto"/>
              <w:bottom w:val="single" w:sz="4" w:space="0" w:color="auto"/>
              <w:right w:val="single" w:sz="4" w:space="0" w:color="auto"/>
            </w:tcBorders>
          </w:tcPr>
          <w:p w:rsidR="00E37646" w:rsidRDefault="00E37646" w:rsidP="002D7EC5">
            <w:pPr>
              <w:pStyle w:val="TableofFigures"/>
              <w:rPr>
                <w:rFonts w:eastAsia="Cambria"/>
                <w:sz w:val="18"/>
              </w:rPr>
            </w:pPr>
            <w:r>
              <w:rPr>
                <w:rFonts w:eastAsia="Cambria"/>
                <w:sz w:val="18"/>
              </w:rPr>
              <w:t>Wind</w:t>
            </w:r>
          </w:p>
        </w:tc>
        <w:tc>
          <w:tcPr>
            <w:tcW w:w="1532"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151</w:t>
            </w:r>
          </w:p>
        </w:tc>
      </w:tr>
      <w:tr w:rsidR="00E37646" w:rsidTr="002D7EC5">
        <w:tc>
          <w:tcPr>
            <w:tcW w:w="1944"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Crowlands Wind Farm</w:t>
            </w:r>
          </w:p>
        </w:tc>
        <w:tc>
          <w:tcPr>
            <w:tcW w:w="1262" w:type="dxa"/>
            <w:tcBorders>
              <w:top w:val="single" w:sz="4" w:space="0" w:color="auto"/>
              <w:left w:val="single" w:sz="4" w:space="0" w:color="auto"/>
              <w:bottom w:val="single" w:sz="4" w:space="0" w:color="auto"/>
              <w:right w:val="single" w:sz="4" w:space="0" w:color="auto"/>
            </w:tcBorders>
          </w:tcPr>
          <w:p w:rsidR="00E37646" w:rsidRDefault="00E37646" w:rsidP="002D7EC5">
            <w:pPr>
              <w:pStyle w:val="TableofFigures"/>
              <w:rPr>
                <w:rFonts w:eastAsia="Cambria"/>
                <w:sz w:val="18"/>
              </w:rPr>
            </w:pPr>
            <w:r>
              <w:rPr>
                <w:rFonts w:eastAsia="Cambria"/>
                <w:sz w:val="18"/>
              </w:rPr>
              <w:t>VIC, Australia</w:t>
            </w:r>
          </w:p>
        </w:tc>
        <w:tc>
          <w:tcPr>
            <w:tcW w:w="755"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LGC</w:t>
            </w:r>
          </w:p>
        </w:tc>
        <w:tc>
          <w:tcPr>
            <w:tcW w:w="1395"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REC Registry</w:t>
            </w:r>
          </w:p>
        </w:tc>
        <w:tc>
          <w:tcPr>
            <w:tcW w:w="1947"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To be surrender 2024</w:t>
            </w:r>
          </w:p>
        </w:tc>
        <w:tc>
          <w:tcPr>
            <w:tcW w:w="1548"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WD00VC32</w:t>
            </w:r>
          </w:p>
        </w:tc>
        <w:tc>
          <w:tcPr>
            <w:tcW w:w="1538"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sidRPr="00E37646">
              <w:t>13866-14018</w:t>
            </w:r>
          </w:p>
        </w:tc>
        <w:tc>
          <w:tcPr>
            <w:tcW w:w="1131"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2023</w:t>
            </w:r>
          </w:p>
        </w:tc>
        <w:tc>
          <w:tcPr>
            <w:tcW w:w="1118" w:type="dxa"/>
            <w:tcBorders>
              <w:top w:val="single" w:sz="4" w:space="0" w:color="auto"/>
              <w:left w:val="single" w:sz="4" w:space="0" w:color="auto"/>
              <w:bottom w:val="single" w:sz="4" w:space="0" w:color="auto"/>
              <w:right w:val="single" w:sz="4" w:space="0" w:color="auto"/>
            </w:tcBorders>
          </w:tcPr>
          <w:p w:rsidR="00E37646" w:rsidRDefault="00E37646" w:rsidP="002D7EC5">
            <w:pPr>
              <w:pStyle w:val="TableofFigures"/>
              <w:rPr>
                <w:rFonts w:eastAsia="Cambria"/>
                <w:sz w:val="18"/>
              </w:rPr>
            </w:pPr>
            <w:r>
              <w:rPr>
                <w:rFonts w:eastAsia="Cambria"/>
                <w:sz w:val="18"/>
              </w:rPr>
              <w:t>Wind</w:t>
            </w:r>
          </w:p>
        </w:tc>
        <w:tc>
          <w:tcPr>
            <w:tcW w:w="1532"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153</w:t>
            </w:r>
          </w:p>
        </w:tc>
      </w:tr>
      <w:tr w:rsidR="00E37646" w:rsidTr="002D7EC5">
        <w:tc>
          <w:tcPr>
            <w:tcW w:w="1944"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Crowlands Wind Farm</w:t>
            </w:r>
          </w:p>
        </w:tc>
        <w:tc>
          <w:tcPr>
            <w:tcW w:w="1262" w:type="dxa"/>
            <w:tcBorders>
              <w:top w:val="single" w:sz="4" w:space="0" w:color="auto"/>
              <w:left w:val="single" w:sz="4" w:space="0" w:color="auto"/>
              <w:bottom w:val="single" w:sz="4" w:space="0" w:color="auto"/>
              <w:right w:val="single" w:sz="4" w:space="0" w:color="auto"/>
            </w:tcBorders>
          </w:tcPr>
          <w:p w:rsidR="00E37646" w:rsidRDefault="00E37646" w:rsidP="002D7EC5">
            <w:pPr>
              <w:pStyle w:val="TableofFigures"/>
              <w:rPr>
                <w:rFonts w:eastAsia="Cambria"/>
                <w:sz w:val="18"/>
              </w:rPr>
            </w:pPr>
            <w:r>
              <w:rPr>
                <w:rFonts w:eastAsia="Cambria"/>
                <w:sz w:val="18"/>
              </w:rPr>
              <w:t>VIC, Australia</w:t>
            </w:r>
          </w:p>
        </w:tc>
        <w:tc>
          <w:tcPr>
            <w:tcW w:w="755"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LGC</w:t>
            </w:r>
          </w:p>
        </w:tc>
        <w:tc>
          <w:tcPr>
            <w:tcW w:w="1395"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REC Registry</w:t>
            </w:r>
          </w:p>
        </w:tc>
        <w:tc>
          <w:tcPr>
            <w:tcW w:w="1947"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To be surrender 2024</w:t>
            </w:r>
          </w:p>
        </w:tc>
        <w:tc>
          <w:tcPr>
            <w:tcW w:w="1548"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WD00VC32</w:t>
            </w:r>
          </w:p>
        </w:tc>
        <w:tc>
          <w:tcPr>
            <w:tcW w:w="1538"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sidRPr="00E37646">
              <w:t>63418-63533</w:t>
            </w:r>
          </w:p>
        </w:tc>
        <w:tc>
          <w:tcPr>
            <w:tcW w:w="1131"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2023</w:t>
            </w:r>
          </w:p>
        </w:tc>
        <w:tc>
          <w:tcPr>
            <w:tcW w:w="1118" w:type="dxa"/>
            <w:tcBorders>
              <w:top w:val="single" w:sz="4" w:space="0" w:color="auto"/>
              <w:left w:val="single" w:sz="4" w:space="0" w:color="auto"/>
              <w:bottom w:val="single" w:sz="4" w:space="0" w:color="auto"/>
              <w:right w:val="single" w:sz="4" w:space="0" w:color="auto"/>
            </w:tcBorders>
          </w:tcPr>
          <w:p w:rsidR="00E37646" w:rsidRDefault="00E37646" w:rsidP="002D7EC5">
            <w:pPr>
              <w:pStyle w:val="TableofFigures"/>
              <w:rPr>
                <w:rFonts w:eastAsia="Cambria"/>
                <w:sz w:val="18"/>
              </w:rPr>
            </w:pPr>
            <w:r>
              <w:rPr>
                <w:rFonts w:eastAsia="Cambria"/>
                <w:sz w:val="18"/>
              </w:rPr>
              <w:t>Wind</w:t>
            </w:r>
          </w:p>
        </w:tc>
        <w:tc>
          <w:tcPr>
            <w:tcW w:w="1532" w:type="dxa"/>
            <w:tcBorders>
              <w:top w:val="single" w:sz="4" w:space="0" w:color="auto"/>
              <w:left w:val="single" w:sz="4" w:space="0" w:color="auto"/>
              <w:bottom w:val="single" w:sz="4" w:space="0" w:color="auto"/>
              <w:right w:val="single" w:sz="4" w:space="0" w:color="auto"/>
            </w:tcBorders>
            <w:hideMark/>
          </w:tcPr>
          <w:p w:rsidR="00E37646" w:rsidRDefault="00E37646" w:rsidP="002D7EC5">
            <w:pPr>
              <w:pStyle w:val="TableofFigures"/>
              <w:rPr>
                <w:rFonts w:eastAsia="Cambria"/>
                <w:sz w:val="18"/>
              </w:rPr>
            </w:pPr>
            <w:r>
              <w:rPr>
                <w:rFonts w:eastAsia="Cambria"/>
                <w:sz w:val="18"/>
              </w:rPr>
              <w:t>116</w:t>
            </w:r>
          </w:p>
        </w:tc>
      </w:tr>
    </w:tbl>
    <w:p w:rsidR="00E37646" w:rsidRDefault="00E37646" w:rsidP="00E37646">
      <w:pPr>
        <w:spacing w:before="200"/>
      </w:pPr>
      <w:r>
        <w:t>Citywide Service Solutions Pty Ltd</w:t>
      </w:r>
      <w:r w:rsidRPr="00A51C2F">
        <w:t xml:space="preserve"> Total (MWh): </w:t>
      </w:r>
      <w:r>
        <w:t>612</w:t>
      </w:r>
    </w:p>
    <w:p w:rsidR="00E37646" w:rsidRDefault="00E37646" w:rsidP="00E37646">
      <w:pPr>
        <w:spacing w:before="200"/>
      </w:pPr>
      <w:r>
        <w:t>Citywide is a wholly owned subsidiary that is not under City of Melbourne’s operational control. Citywide emissions not associated with City of Melbourne usage have been excluded. City of Melbourne includes 21.8% of Citywide’s emissions (and associated LGCs) as this is the proportion of Citywide’s revenue associated with service provision to City of Melbourne: 133</w:t>
      </w:r>
    </w:p>
    <w:p w:rsidR="00D06CE6" w:rsidRDefault="00E37646" w:rsidP="00E37646">
      <w:pPr>
        <w:spacing w:before="200"/>
        <w:sectPr w:rsidR="00D06CE6" w:rsidSect="004E4A3F">
          <w:endnotePr>
            <w:numFmt w:val="decimal"/>
          </w:endnotePr>
          <w:pgSz w:w="16840" w:h="11900" w:orient="landscape"/>
          <w:pgMar w:top="1134" w:right="1418" w:bottom="987" w:left="1134" w:header="709" w:footer="709" w:gutter="0"/>
          <w:cols w:space="708"/>
          <w:docGrid w:linePitch="360"/>
        </w:sectPr>
      </w:pPr>
      <w:r w:rsidRPr="00E37646">
        <w:t>Total LGCs surrendered this report and used in this report</w:t>
      </w:r>
      <w:r>
        <w:t>: 13,763</w:t>
      </w:r>
    </w:p>
    <w:p w:rsidR="00476FCD" w:rsidRDefault="00E37646" w:rsidP="00D06CE6">
      <w:pPr>
        <w:pStyle w:val="Heading1"/>
        <w:rPr>
          <w:rFonts w:hint="eastAsia"/>
        </w:rPr>
      </w:pPr>
      <w:bookmarkStart w:id="52" w:name="_Toc158887369"/>
      <w:r>
        <w:lastRenderedPageBreak/>
        <w:t>Appendix A: Additional Information</w:t>
      </w:r>
      <w:bookmarkEnd w:id="52"/>
    </w:p>
    <w:p w:rsidR="00E37646" w:rsidRPr="00E37646" w:rsidRDefault="00E37646" w:rsidP="00E37646">
      <w:pPr>
        <w:rPr>
          <w:lang w:val="en-US"/>
        </w:rPr>
      </w:pPr>
      <w:r w:rsidRPr="00E37646">
        <w:rPr>
          <w:lang w:val="en-US"/>
        </w:rPr>
        <w:t>The City of Melbourne’s greenhouse gas emissions inventory has been pr</w:t>
      </w:r>
      <w:r>
        <w:rPr>
          <w:lang w:val="en-US"/>
        </w:rPr>
        <w:t xml:space="preserve">epared according to the Climate </w:t>
      </w:r>
      <w:r w:rsidRPr="00E37646">
        <w:rPr>
          <w:lang w:val="en-US"/>
        </w:rPr>
        <w:t xml:space="preserve">Active Carbon Neutral Standard. The emissions boundary is consistent </w:t>
      </w:r>
      <w:r>
        <w:rPr>
          <w:lang w:val="en-US"/>
        </w:rPr>
        <w:t xml:space="preserve">with the GHG Protocol Corporate </w:t>
      </w:r>
      <w:r w:rsidRPr="00E37646">
        <w:rPr>
          <w:lang w:val="en-US"/>
        </w:rPr>
        <w:t>Accounting and Reporting Standard:</w:t>
      </w:r>
    </w:p>
    <w:p w:rsidR="00E37646" w:rsidRPr="00E37646" w:rsidRDefault="00E37646" w:rsidP="00E37646">
      <w:pPr>
        <w:pStyle w:val="ListBullet"/>
      </w:pPr>
      <w:r w:rsidRPr="00E37646">
        <w:t>Organisational boundary: The City of Melbourne uses the o</w:t>
      </w:r>
      <w:r>
        <w:t xml:space="preserve">perational control approach for </w:t>
      </w:r>
      <w:r w:rsidRPr="00E37646">
        <w:t>measuring and reporting on the organisation’s emissions. The City of Melbourne includes</w:t>
      </w:r>
      <w:r>
        <w:t xml:space="preserve"> </w:t>
      </w:r>
      <w:r w:rsidRPr="00E37646">
        <w:t>emissions from all activities over which we have full operational control (see Figure 2).</w:t>
      </w:r>
    </w:p>
    <w:p w:rsidR="00E37646" w:rsidRDefault="00E37646" w:rsidP="00E37646">
      <w:pPr>
        <w:pStyle w:val="ListBullet"/>
      </w:pPr>
      <w:r w:rsidRPr="00E37646">
        <w:t>Operational boundary: The emissions inventory includes dir</w:t>
      </w:r>
      <w:r>
        <w:t xml:space="preserve">ect emission sources (scope 1), </w:t>
      </w:r>
      <w:r w:rsidRPr="00E37646">
        <w:t>emissions from purchased energy (scope 2) and other measurable indirect emission sources</w:t>
      </w:r>
      <w:r>
        <w:t xml:space="preserve"> </w:t>
      </w:r>
      <w:r w:rsidRPr="00E37646">
        <w:t>(scope 3) that are material to the City of Melbourne’s operations.</w:t>
      </w:r>
    </w:p>
    <w:p w:rsidR="00E37646" w:rsidRPr="00E37646" w:rsidRDefault="00E37646" w:rsidP="00E37646">
      <w:pPr>
        <w:pStyle w:val="Heading2"/>
        <w:rPr>
          <w:rFonts w:hint="eastAsia"/>
        </w:rPr>
      </w:pPr>
      <w:bookmarkStart w:id="53" w:name="_Toc158887370"/>
      <w:r w:rsidRPr="00E37646">
        <w:t>Figure 2: Organisational and operational boundary</w:t>
      </w:r>
      <w:bookmarkEnd w:id="53"/>
    </w:p>
    <w:p w:rsidR="00E37646" w:rsidRDefault="00E37646" w:rsidP="00E37646">
      <w:pPr>
        <w:pStyle w:val="ListBullet"/>
        <w:numPr>
          <w:ilvl w:val="0"/>
          <w:numId w:val="0"/>
        </w:numPr>
        <w:spacing w:after="240"/>
        <w:ind w:left="357" w:hanging="357"/>
      </w:pPr>
      <w:r>
        <w:t>City of Melbourne comprises:</w:t>
      </w:r>
    </w:p>
    <w:p w:rsidR="00E37646" w:rsidRDefault="00E37646" w:rsidP="00E37646">
      <w:pPr>
        <w:pStyle w:val="ListBullet"/>
        <w:spacing w:after="240"/>
      </w:pPr>
      <w:r w:rsidRPr="00E37646">
        <w:rPr>
          <w:b/>
        </w:rPr>
        <w:t>Facilities/operations</w:t>
      </w:r>
      <w:r>
        <w:t xml:space="preserve"> (administration, child care, community and cultural, library and information, leased, parking meter network, security camera network, street lighting network, park, recreation and sporting).</w:t>
      </w:r>
    </w:p>
    <w:p w:rsidR="00E37646" w:rsidRDefault="00E37646" w:rsidP="00E37646">
      <w:pPr>
        <w:pStyle w:val="ListBullet"/>
        <w:spacing w:after="240"/>
      </w:pPr>
      <w:r w:rsidRPr="00E37646">
        <w:rPr>
          <w:b/>
        </w:rPr>
        <w:t>Citywide</w:t>
      </w:r>
      <w:r>
        <w:t xml:space="preserve"> (waste collection, street cleaning, parks and gardens)</w:t>
      </w:r>
    </w:p>
    <w:p w:rsidR="00E37646" w:rsidRPr="00E37646" w:rsidRDefault="00E37646" w:rsidP="00E37646">
      <w:pPr>
        <w:pStyle w:val="ListBullet"/>
        <w:spacing w:after="240"/>
        <w:rPr>
          <w:b/>
        </w:rPr>
      </w:pPr>
      <w:r w:rsidRPr="00E37646">
        <w:rPr>
          <w:b/>
        </w:rPr>
        <w:t>Queen Victoria Market</w:t>
      </w:r>
    </w:p>
    <w:p w:rsidR="00E37646" w:rsidRDefault="00E37646" w:rsidP="00E37646">
      <w:pPr>
        <w:pStyle w:val="ListBullet"/>
        <w:spacing w:after="240"/>
      </w:pPr>
      <w:r w:rsidRPr="00E37646">
        <w:rPr>
          <w:b/>
        </w:rPr>
        <w:t>Supply chain</w:t>
      </w:r>
      <w:r>
        <w:t xml:space="preserve"> (building and property maintenance, vehicle towing, street cleaning, parks and gardens, promotion and marketing, civil designs and traffic engineering, postage and courier services, recreation services, legal services).</w:t>
      </w:r>
    </w:p>
    <w:p w:rsidR="00E37646" w:rsidRDefault="00E37646" w:rsidP="00E37646">
      <w:pPr>
        <w:pStyle w:val="ListBullet"/>
        <w:spacing w:after="240"/>
      </w:pPr>
      <w:r>
        <w:t>Facilities/operations are reported as Scope 1, 2 and 3 emissions</w:t>
      </w:r>
    </w:p>
    <w:p w:rsidR="00E37646" w:rsidRDefault="00E37646" w:rsidP="00E37646">
      <w:pPr>
        <w:pStyle w:val="ListBullet"/>
        <w:spacing w:after="240"/>
      </w:pPr>
      <w:r>
        <w:t>Citywide, Queen Victoria Market and Supply chain are reported as Scope 3 emissions.</w:t>
      </w:r>
    </w:p>
    <w:p w:rsidR="00E37646" w:rsidRDefault="00E37646" w:rsidP="00E37646">
      <w:pPr>
        <w:pStyle w:val="ListBullet"/>
        <w:numPr>
          <w:ilvl w:val="0"/>
          <w:numId w:val="0"/>
        </w:numPr>
        <w:spacing w:after="240"/>
      </w:pPr>
      <w:r>
        <w:t>The following greenho</w:t>
      </w:r>
      <w:r w:rsidR="00235B6A">
        <w:t>use gases have been considered:</w:t>
      </w:r>
    </w:p>
    <w:p w:rsidR="00E37646" w:rsidRDefault="00E37646" w:rsidP="00E37646">
      <w:pPr>
        <w:pStyle w:val="ListBullet"/>
        <w:spacing w:after="240"/>
      </w:pPr>
      <w:r>
        <w:t>Carbon dioxide CO</w:t>
      </w:r>
      <w:r w:rsidRPr="00E37646">
        <w:rPr>
          <w:vertAlign w:val="subscript"/>
        </w:rPr>
        <w:t>2</w:t>
      </w:r>
    </w:p>
    <w:p w:rsidR="00E37646" w:rsidRDefault="00E37646" w:rsidP="00E37646">
      <w:pPr>
        <w:pStyle w:val="ListBullet"/>
        <w:spacing w:after="240"/>
      </w:pPr>
      <w:r>
        <w:t>Methane CH</w:t>
      </w:r>
      <w:r w:rsidRPr="00E37646">
        <w:rPr>
          <w:vertAlign w:val="subscript"/>
        </w:rPr>
        <w:t>4</w:t>
      </w:r>
    </w:p>
    <w:p w:rsidR="00E37646" w:rsidRDefault="00E37646" w:rsidP="00E37646">
      <w:pPr>
        <w:pStyle w:val="ListBullet"/>
        <w:spacing w:after="240"/>
      </w:pPr>
      <w:r>
        <w:t>Nitrous oxide N</w:t>
      </w:r>
      <w:r w:rsidRPr="00E37646">
        <w:rPr>
          <w:vertAlign w:val="subscript"/>
        </w:rPr>
        <w:t>2</w:t>
      </w:r>
      <w:r>
        <w:t>O</w:t>
      </w:r>
    </w:p>
    <w:p w:rsidR="00C50638" w:rsidRPr="00E37646" w:rsidRDefault="00E37646" w:rsidP="00E37646">
      <w:pPr>
        <w:pStyle w:val="ListBullet"/>
        <w:spacing w:after="240"/>
      </w:pPr>
      <w:r>
        <w:t>Synthetic gases HFCs, SF</w:t>
      </w:r>
      <w:r w:rsidRPr="00E37646">
        <w:rPr>
          <w:vertAlign w:val="subscript"/>
        </w:rPr>
        <w:t>6</w:t>
      </w:r>
      <w:r>
        <w:t>, CF</w:t>
      </w:r>
      <w:r w:rsidRPr="00E37646">
        <w:rPr>
          <w:vertAlign w:val="subscript"/>
        </w:rPr>
        <w:t>4</w:t>
      </w:r>
      <w:r>
        <w:t>, C</w:t>
      </w:r>
      <w:r w:rsidRPr="00E37646">
        <w:rPr>
          <w:vertAlign w:val="subscript"/>
        </w:rPr>
        <w:t>2</w:t>
      </w:r>
      <w:r>
        <w:t>F</w:t>
      </w:r>
      <w:r w:rsidRPr="00E37646">
        <w:rPr>
          <w:vertAlign w:val="subscript"/>
        </w:rPr>
        <w:t>6</w:t>
      </w:r>
    </w:p>
    <w:p w:rsidR="00E37646" w:rsidRDefault="00E37646" w:rsidP="00E37646">
      <w:pPr>
        <w:pStyle w:val="ListBullet"/>
        <w:numPr>
          <w:ilvl w:val="0"/>
          <w:numId w:val="0"/>
        </w:numPr>
        <w:spacing w:after="240"/>
        <w:ind w:left="357" w:hanging="357"/>
      </w:pPr>
      <w:r w:rsidRPr="00E37646">
        <w:t>The following emission sources have been included: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7"/>
        <w:gridCol w:w="1418"/>
      </w:tblGrid>
      <w:tr w:rsidR="00E37646" w:rsidTr="002D7EC5">
        <w:tc>
          <w:tcPr>
            <w:tcW w:w="2977" w:type="dxa"/>
            <w:tcBorders>
              <w:top w:val="single" w:sz="4" w:space="0" w:color="auto"/>
              <w:left w:val="single" w:sz="4" w:space="0" w:color="auto"/>
              <w:bottom w:val="single" w:sz="4" w:space="0" w:color="auto"/>
              <w:right w:val="single" w:sz="4" w:space="0" w:color="auto"/>
            </w:tcBorders>
            <w:hideMark/>
          </w:tcPr>
          <w:p w:rsidR="00E37646" w:rsidRPr="007467F7" w:rsidRDefault="00E37646" w:rsidP="002D7EC5">
            <w:pPr>
              <w:pStyle w:val="TableofFigures"/>
              <w:rPr>
                <w:b/>
              </w:rPr>
            </w:pPr>
            <w:r w:rsidRPr="007467F7">
              <w:rPr>
                <w:b/>
              </w:rPr>
              <w:t xml:space="preserve">Emission sources </w:t>
            </w:r>
          </w:p>
        </w:tc>
        <w:tc>
          <w:tcPr>
            <w:tcW w:w="1418" w:type="dxa"/>
            <w:tcBorders>
              <w:top w:val="single" w:sz="4" w:space="0" w:color="auto"/>
              <w:left w:val="single" w:sz="4" w:space="0" w:color="auto"/>
              <w:bottom w:val="single" w:sz="4" w:space="0" w:color="auto"/>
              <w:right w:val="single" w:sz="4" w:space="0" w:color="auto"/>
            </w:tcBorders>
            <w:hideMark/>
          </w:tcPr>
          <w:p w:rsidR="00E37646" w:rsidRPr="007467F7" w:rsidRDefault="00E37646" w:rsidP="002D7EC5">
            <w:pPr>
              <w:pStyle w:val="TableofFigures"/>
              <w:rPr>
                <w:b/>
              </w:rPr>
            </w:pPr>
            <w:r w:rsidRPr="007467F7">
              <w:rPr>
                <w:b/>
              </w:rPr>
              <w:t>Scope</w:t>
            </w:r>
          </w:p>
        </w:tc>
      </w:tr>
      <w:tr w:rsidR="00E37646" w:rsidTr="002D7EC5">
        <w:tc>
          <w:tcPr>
            <w:tcW w:w="2977"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Natural gas</w:t>
            </w:r>
          </w:p>
        </w:tc>
        <w:tc>
          <w:tcPr>
            <w:tcW w:w="1418"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t xml:space="preserve">1, </w:t>
            </w:r>
            <w:r w:rsidRPr="007467F7">
              <w:t>3</w:t>
            </w:r>
          </w:p>
        </w:tc>
      </w:tr>
      <w:tr w:rsidR="00E37646" w:rsidTr="002D7EC5">
        <w:tc>
          <w:tcPr>
            <w:tcW w:w="2977"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Transport fuels</w:t>
            </w:r>
          </w:p>
        </w:tc>
        <w:tc>
          <w:tcPr>
            <w:tcW w:w="1418"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t xml:space="preserve">1, </w:t>
            </w:r>
            <w:r w:rsidRPr="007467F7">
              <w:t>3</w:t>
            </w:r>
          </w:p>
        </w:tc>
      </w:tr>
      <w:tr w:rsidR="00E37646" w:rsidTr="002D7EC5">
        <w:tc>
          <w:tcPr>
            <w:tcW w:w="2977"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Stationary fuels</w:t>
            </w:r>
          </w:p>
        </w:tc>
        <w:tc>
          <w:tcPr>
            <w:tcW w:w="1418"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t xml:space="preserve">1, </w:t>
            </w:r>
            <w:r w:rsidRPr="007467F7">
              <w:t>3</w:t>
            </w:r>
          </w:p>
        </w:tc>
      </w:tr>
      <w:tr w:rsidR="00E37646" w:rsidTr="002D7EC5">
        <w:tc>
          <w:tcPr>
            <w:tcW w:w="2977"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Refrigerants</w:t>
            </w:r>
          </w:p>
        </w:tc>
        <w:tc>
          <w:tcPr>
            <w:tcW w:w="1418"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1</w:t>
            </w:r>
          </w:p>
        </w:tc>
      </w:tr>
      <w:tr w:rsidR="00E37646" w:rsidTr="002D7EC5">
        <w:tc>
          <w:tcPr>
            <w:tcW w:w="2977"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Grid electricity</w:t>
            </w:r>
          </w:p>
        </w:tc>
        <w:tc>
          <w:tcPr>
            <w:tcW w:w="1418"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2, 3</w:t>
            </w:r>
          </w:p>
        </w:tc>
      </w:tr>
      <w:tr w:rsidR="00E37646" w:rsidTr="002D7EC5">
        <w:tc>
          <w:tcPr>
            <w:tcW w:w="2977"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lastRenderedPageBreak/>
              <w:t>Waste disposal</w:t>
            </w:r>
          </w:p>
        </w:tc>
        <w:tc>
          <w:tcPr>
            <w:tcW w:w="1418"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3</w:t>
            </w:r>
          </w:p>
        </w:tc>
      </w:tr>
      <w:tr w:rsidR="00E37646" w:rsidTr="002D7EC5">
        <w:tc>
          <w:tcPr>
            <w:tcW w:w="2977"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Reticulated water</w:t>
            </w:r>
          </w:p>
        </w:tc>
        <w:tc>
          <w:tcPr>
            <w:tcW w:w="1418"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3</w:t>
            </w:r>
          </w:p>
        </w:tc>
      </w:tr>
      <w:tr w:rsidR="00E37646" w:rsidTr="002D7EC5">
        <w:tc>
          <w:tcPr>
            <w:tcW w:w="2977"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Subsidiaries</w:t>
            </w:r>
          </w:p>
        </w:tc>
        <w:tc>
          <w:tcPr>
            <w:tcW w:w="1418"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3</w:t>
            </w:r>
          </w:p>
        </w:tc>
      </w:tr>
      <w:tr w:rsidR="00E37646" w:rsidTr="002D7EC5">
        <w:tc>
          <w:tcPr>
            <w:tcW w:w="2977"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Supply chain</w:t>
            </w:r>
          </w:p>
        </w:tc>
        <w:tc>
          <w:tcPr>
            <w:tcW w:w="1418"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3</w:t>
            </w:r>
          </w:p>
        </w:tc>
      </w:tr>
      <w:tr w:rsidR="00E37646" w:rsidTr="002D7EC5">
        <w:tc>
          <w:tcPr>
            <w:tcW w:w="2977"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Staff and volunteer travel</w:t>
            </w:r>
          </w:p>
        </w:tc>
        <w:tc>
          <w:tcPr>
            <w:tcW w:w="1418" w:type="dxa"/>
            <w:tcBorders>
              <w:top w:val="single" w:sz="4" w:space="0" w:color="auto"/>
              <w:left w:val="single" w:sz="4" w:space="0" w:color="auto"/>
              <w:bottom w:val="single" w:sz="4" w:space="0" w:color="auto"/>
              <w:right w:val="single" w:sz="4" w:space="0" w:color="auto"/>
            </w:tcBorders>
          </w:tcPr>
          <w:p w:rsidR="00E37646" w:rsidRPr="007467F7" w:rsidRDefault="00E37646" w:rsidP="002D7EC5">
            <w:pPr>
              <w:pStyle w:val="TableofFigures"/>
            </w:pPr>
            <w:r w:rsidRPr="007467F7">
              <w:t>3</w:t>
            </w:r>
          </w:p>
        </w:tc>
      </w:tr>
    </w:tbl>
    <w:p w:rsidR="00E70AB7" w:rsidRDefault="00E70AB7" w:rsidP="006F0AF9">
      <w:pPr>
        <w:spacing w:before="200"/>
      </w:pPr>
      <w:r>
        <w:t>The City of Melbourne maintains an internal reporting procedures document. This document outlines the reporting process and acts as a guide for the relevant reporting officer to assist in preparing the Climate Active inventory in an accurate, transparent and timely manner.</w:t>
      </w:r>
    </w:p>
    <w:p w:rsidR="00E70AB7" w:rsidRDefault="00E70AB7" w:rsidP="00E70AB7">
      <w:r>
        <w:t>Utility data for gas, water and electricity is collated on a carbon management software platform. The software provider collects data directly from utility providers and the City reporting officer manually uploads supply chain data.</w:t>
      </w:r>
    </w:p>
    <w:p w:rsidR="00E70AB7" w:rsidRDefault="00E70AB7" w:rsidP="00E70AB7">
      <w:r>
        <w:t>A materiality test is used to initiate the reporting process to determine the major areas of business activity and associated emissions. The assessment looks at total expenditure across the organisation through account codes for all purchased goods and services. All sources that are equal or greater than 0.5% of the total expenditure are assessed for possible inclusion. Anything outside this range is excluded as immaterial and an uplift factor is applied.</w:t>
      </w:r>
    </w:p>
    <w:p w:rsidR="00F73270" w:rsidRDefault="00E70AB7" w:rsidP="00235B6A">
      <w:r>
        <w:t>For everything within range, the reporting officer requests data directly from the contractors and suppliers. These data owners are provided with a template for providing information on the energy, water, waste, and materials used in line with the services provided to the City of Melbourne. Provision of environmental data is included as a standard clause in City of Melbourne contracts. Where contractors and suppliers are unable to provide reliable data the City of Melbourne works with these specific contractors to build their capacity to provide suitable data.</w:t>
      </w:r>
      <w:r w:rsidR="00F73270">
        <w:br w:type="page"/>
      </w:r>
    </w:p>
    <w:p w:rsidR="00F73270" w:rsidRDefault="00F73270" w:rsidP="00F73270">
      <w:pPr>
        <w:pStyle w:val="Heading2"/>
        <w:rPr>
          <w:rFonts w:hint="eastAsia"/>
        </w:rPr>
      </w:pPr>
      <w:bookmarkStart w:id="54" w:name="_Toc158887371"/>
      <w:r>
        <w:lastRenderedPageBreak/>
        <w:t>Offsets strategy</w:t>
      </w:r>
      <w:bookmarkEnd w:id="54"/>
    </w:p>
    <w:p w:rsidR="00F73270" w:rsidRDefault="00F73270" w:rsidP="00F73270">
      <w:r>
        <w:t xml:space="preserve">The City of Melbourne purchases offsets according to the principles set out in our </w:t>
      </w:r>
      <w:hyperlink r:id="rId24" w:history="1">
        <w:r w:rsidRPr="00F73270">
          <w:rPr>
            <w:rStyle w:val="Hyperlink"/>
          </w:rPr>
          <w:t>City of Melbourne Carbon Neutrality Strategy (Council Operations)</w:t>
        </w:r>
      </w:hyperlink>
      <w:r>
        <w:rPr>
          <w:rStyle w:val="FootnoteReference"/>
        </w:rPr>
        <w:footnoteReference w:id="10"/>
      </w:r>
      <w:r>
        <w:t xml:space="preserve"> approved by the Council’s Future Melbourne Committee at a meeting held on 17 April 2012. These principles are constantly evolving as we strive to ensure best practice in response to the dynamic voluntary offset market.</w:t>
      </w:r>
    </w:p>
    <w:p w:rsidR="00F73270" w:rsidRDefault="00F73270" w:rsidP="00F73270">
      <w:r>
        <w:t>The most recent offset procurement in 2023 was targeted as follows:</w:t>
      </w:r>
    </w:p>
    <w:p w:rsidR="00F73270" w:rsidRDefault="00F73270" w:rsidP="00F73270">
      <w:pPr>
        <w:pStyle w:val="Heading3"/>
        <w:rPr>
          <w:rFonts w:hint="eastAsia"/>
        </w:rPr>
      </w:pPr>
      <w:bookmarkStart w:id="55" w:name="_Toc158887372"/>
      <w:r>
        <w:t>Project Type</w:t>
      </w:r>
      <w:bookmarkEnd w:id="55"/>
    </w:p>
    <w:p w:rsidR="00F73270" w:rsidRDefault="00F73270" w:rsidP="00F73270">
      <w:r>
        <w:t>Preference for:</w:t>
      </w:r>
    </w:p>
    <w:p w:rsidR="00F73270" w:rsidRDefault="00F73270" w:rsidP="00F73270">
      <w:pPr>
        <w:pStyle w:val="ListBullet"/>
      </w:pPr>
      <w:r>
        <w:t>Draw-down over avoided emissions projects</w:t>
      </w:r>
    </w:p>
    <w:p w:rsidR="00F73270" w:rsidRDefault="00F73270" w:rsidP="00F73270">
      <w:pPr>
        <w:pStyle w:val="ListBullet"/>
      </w:pPr>
      <w:r>
        <w:t>Nature-based projects (preferably not avoided deforestation if possible)</w:t>
      </w:r>
    </w:p>
    <w:p w:rsidR="00F73270" w:rsidRDefault="00F73270" w:rsidP="00F73270">
      <w:pPr>
        <w:pStyle w:val="ListBullet"/>
      </w:pPr>
      <w:r>
        <w:t>Australia-based projects (although international projects will also be considered)</w:t>
      </w:r>
    </w:p>
    <w:p w:rsidR="00F73270" w:rsidRDefault="00F73270" w:rsidP="00F73270">
      <w:pPr>
        <w:pStyle w:val="Heading3"/>
        <w:rPr>
          <w:rFonts w:hint="eastAsia"/>
        </w:rPr>
      </w:pPr>
      <w:bookmarkStart w:id="56" w:name="_Toc158887373"/>
      <w:r>
        <w:t>Transparency</w:t>
      </w:r>
      <w:bookmarkEnd w:id="56"/>
    </w:p>
    <w:p w:rsidR="00F73270" w:rsidRDefault="00F73270" w:rsidP="00F73270">
      <w:r>
        <w:t>The provider has supplied detailed evidence to support the project’s claims of quality and credibility. This may include:</w:t>
      </w:r>
    </w:p>
    <w:p w:rsidR="00F73270" w:rsidRDefault="00F73270" w:rsidP="00F73270">
      <w:pPr>
        <w:pStyle w:val="ListBullet"/>
      </w:pPr>
      <w:r>
        <w:t>Project documentation</w:t>
      </w:r>
    </w:p>
    <w:p w:rsidR="00F73270" w:rsidRDefault="00F73270" w:rsidP="00F73270">
      <w:pPr>
        <w:pStyle w:val="ListBullet"/>
      </w:pPr>
      <w:r>
        <w:t>Factsheets and collateral</w:t>
      </w:r>
    </w:p>
    <w:p w:rsidR="00F73270" w:rsidRDefault="00F73270" w:rsidP="00F73270">
      <w:pPr>
        <w:pStyle w:val="ListBullet"/>
      </w:pPr>
      <w:r>
        <w:t>Register details</w:t>
      </w:r>
    </w:p>
    <w:p w:rsidR="00F73270" w:rsidRDefault="00F73270" w:rsidP="00F73270">
      <w:pPr>
        <w:pStyle w:val="ListBullet"/>
      </w:pPr>
      <w:r>
        <w:t>Substantiation of project outcomes &amp; benefits</w:t>
      </w:r>
    </w:p>
    <w:p w:rsidR="00F73270" w:rsidRDefault="00F73270" w:rsidP="00F73270">
      <w:pPr>
        <w:pStyle w:val="ListBullet"/>
      </w:pPr>
      <w:r>
        <w:t>Alignment to UN SDG’s</w:t>
      </w:r>
    </w:p>
    <w:p w:rsidR="00F73270" w:rsidRDefault="00F73270" w:rsidP="00F73270">
      <w:pPr>
        <w:pStyle w:val="ListBullet"/>
      </w:pPr>
      <w:r>
        <w:t>Any other material which supports the projects’ claims of integrity and additionality.</w:t>
      </w:r>
    </w:p>
    <w:p w:rsidR="00F73270" w:rsidRDefault="00F73270" w:rsidP="00F73270">
      <w:pPr>
        <w:pStyle w:val="Heading3"/>
        <w:rPr>
          <w:rFonts w:hint="eastAsia"/>
        </w:rPr>
      </w:pPr>
      <w:bookmarkStart w:id="57" w:name="_Toc158887374"/>
      <w:r>
        <w:t>Co-Benefits</w:t>
      </w:r>
      <w:bookmarkEnd w:id="57"/>
    </w:p>
    <w:p w:rsidR="00F73270" w:rsidRDefault="00F73270" w:rsidP="00F73270">
      <w:r>
        <w:t>Preference for:</w:t>
      </w:r>
    </w:p>
    <w:p w:rsidR="00F73270" w:rsidRDefault="00F73270" w:rsidP="00F73270">
      <w:pPr>
        <w:pStyle w:val="ListBullet"/>
      </w:pPr>
      <w:r>
        <w:t>Aboriginal and Torres Strait Islander employment and training</w:t>
      </w:r>
    </w:p>
    <w:p w:rsidR="00F73270" w:rsidRDefault="00F73270" w:rsidP="00F73270">
      <w:pPr>
        <w:pStyle w:val="ListBullet"/>
      </w:pPr>
      <w:r>
        <w:t>Local economic and employment opportunities</w:t>
      </w:r>
    </w:p>
    <w:p w:rsidR="00F73270" w:rsidRDefault="00F73270" w:rsidP="00F73270">
      <w:pPr>
        <w:pStyle w:val="ListBullet"/>
      </w:pPr>
      <w:r>
        <w:t>Positive social and health outcomes</w:t>
      </w:r>
    </w:p>
    <w:p w:rsidR="00F73270" w:rsidRDefault="00F73270" w:rsidP="00F73270">
      <w:pPr>
        <w:pStyle w:val="ListBullet"/>
      </w:pPr>
      <w:r>
        <w:t>Improved biodiversity and ecosystem services</w:t>
      </w:r>
    </w:p>
    <w:p w:rsidR="00F73270" w:rsidRDefault="00F73270" w:rsidP="00F73270">
      <w:pPr>
        <w:pStyle w:val="ListBullet"/>
        <w:numPr>
          <w:ilvl w:val="0"/>
          <w:numId w:val="0"/>
        </w:numPr>
      </w:pPr>
      <w:r>
        <w:t>The City of Melbourne procures offsets at the start of each reporting period. These offsets are held by our offset provider and are then retired upon request at the end of the reporting period, after the inventory has been completed.</w:t>
      </w:r>
    </w:p>
    <w:p w:rsidR="00E37646" w:rsidRPr="00B63389" w:rsidRDefault="00F73270" w:rsidP="00F73270">
      <w:pPr>
        <w:pStyle w:val="ListBullet"/>
        <w:numPr>
          <w:ilvl w:val="0"/>
          <w:numId w:val="0"/>
        </w:numPr>
      </w:pPr>
      <w:r>
        <w:t>As of 30 June 2023, the City of Melbourne held 999 kW of solar capacity across 27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8"/>
        <w:gridCol w:w="5528"/>
      </w:tblGrid>
      <w:tr w:rsidR="002D7EC5" w:rsidTr="002D7EC5">
        <w:trPr>
          <w:tblHeader/>
        </w:trPr>
        <w:tc>
          <w:tcPr>
            <w:tcW w:w="1838" w:type="dxa"/>
            <w:tcBorders>
              <w:top w:val="single" w:sz="4" w:space="0" w:color="auto"/>
              <w:left w:val="single" w:sz="4" w:space="0" w:color="auto"/>
              <w:bottom w:val="single" w:sz="4" w:space="0" w:color="auto"/>
              <w:right w:val="single" w:sz="4" w:space="0" w:color="auto"/>
            </w:tcBorders>
          </w:tcPr>
          <w:p w:rsidR="002D7EC5" w:rsidRPr="00F248B2" w:rsidRDefault="002D7EC5" w:rsidP="002D7EC5">
            <w:pPr>
              <w:pStyle w:val="TableofFigures"/>
              <w:rPr>
                <w:rFonts w:eastAsia="Cambria"/>
                <w:b/>
              </w:rPr>
            </w:pPr>
            <w:r w:rsidRPr="00F248B2">
              <w:rPr>
                <w:rFonts w:eastAsia="Cambria"/>
                <w:b/>
              </w:rPr>
              <w:t>Installed capacity</w:t>
            </w:r>
          </w:p>
        </w:tc>
        <w:tc>
          <w:tcPr>
            <w:tcW w:w="5528" w:type="dxa"/>
            <w:tcBorders>
              <w:top w:val="single" w:sz="4" w:space="0" w:color="auto"/>
              <w:left w:val="single" w:sz="4" w:space="0" w:color="auto"/>
              <w:bottom w:val="single" w:sz="4" w:space="0" w:color="auto"/>
              <w:right w:val="single" w:sz="4" w:space="0" w:color="auto"/>
            </w:tcBorders>
          </w:tcPr>
          <w:p w:rsidR="002D7EC5" w:rsidRPr="00F248B2" w:rsidRDefault="002D7EC5" w:rsidP="002D7EC5">
            <w:pPr>
              <w:pStyle w:val="TableofFigures"/>
              <w:rPr>
                <w:rFonts w:eastAsia="Cambria"/>
                <w:b/>
              </w:rPr>
            </w:pPr>
            <w:r w:rsidRPr="00F248B2">
              <w:rPr>
                <w:rFonts w:eastAsia="Cambria"/>
                <w:b/>
              </w:rPr>
              <w:t>Site</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rPr>
                <w:rFonts w:eastAsia="Cambria"/>
              </w:rPr>
            </w:pPr>
            <w:r>
              <w:t>200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rPr>
                <w:rFonts w:eastAsia="Cambria"/>
              </w:rPr>
            </w:pPr>
            <w:r>
              <w:t>North Melbourne Football Club</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rPr>
                <w:rFonts w:eastAsia="Cambria"/>
              </w:rPr>
            </w:pPr>
            <w:r>
              <w:t>250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rPr>
                <w:rFonts w:eastAsia="Cambria"/>
              </w:rPr>
            </w:pPr>
            <w:r>
              <w:t>Kensington Recreation Centre</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rPr>
                <w:rFonts w:eastAsia="Cambria"/>
              </w:rPr>
            </w:pPr>
            <w:r>
              <w:t>85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rPr>
                <w:rFonts w:eastAsia="Cambria"/>
              </w:rPr>
            </w:pPr>
            <w:r>
              <w:t>Library at the Dock</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rPr>
                <w:rFonts w:eastAsia="Cambria"/>
              </w:rPr>
            </w:pPr>
            <w:r>
              <w:lastRenderedPageBreak/>
              <w:t>52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rPr>
                <w:rFonts w:eastAsia="Cambria"/>
              </w:rPr>
            </w:pPr>
            <w:r>
              <w:t>Fitzroy Garden Depot</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45.8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Carlton Baths (2)</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38.9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Kensington Flemington Bowls</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38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Gowrie Child Care</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35.1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Community Hub at The Dock (2)</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30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Community Hub at The Dock (1)</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27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Fitzroy Garden Visitor Centre</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20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Boyd School</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20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Flagstaff Bowls Club</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15.6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Carlton Baths (1)</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15.6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Fawkner Park Children's Centre &amp; Senior Citizens Centre</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15.6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Kensington Family Services</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10.4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East Melbourne Library</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10.4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Kensington Neighbourhood Centre</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7.5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Royal Park North Depot</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6.24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North Melbourne Children's Centre</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5.1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The Venny</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4.8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Urban Camp</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3.6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CH2</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3.23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Art Play City of Melbourne</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2.3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North Melbourne Baths</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1.3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Signal</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7.5 kW</w:t>
            </w:r>
          </w:p>
        </w:tc>
        <w:tc>
          <w:tcPr>
            <w:tcW w:w="552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Royal Park North Depot</w:t>
            </w:r>
          </w:p>
        </w:tc>
      </w:tr>
      <w:tr w:rsidR="002D7EC5" w:rsidTr="002D7EC5">
        <w:tc>
          <w:tcPr>
            <w:tcW w:w="1838" w:type="dxa"/>
            <w:tcBorders>
              <w:top w:val="single" w:sz="4" w:space="0" w:color="auto"/>
              <w:left w:val="single" w:sz="4" w:space="0" w:color="auto"/>
              <w:bottom w:val="single" w:sz="4" w:space="0" w:color="auto"/>
              <w:right w:val="single" w:sz="4" w:space="0" w:color="auto"/>
            </w:tcBorders>
          </w:tcPr>
          <w:p w:rsidR="002D7EC5" w:rsidRDefault="002D7EC5" w:rsidP="002D7EC5">
            <w:pPr>
              <w:pStyle w:val="TableofFigures"/>
            </w:pPr>
            <w:r>
              <w:t>40.3 kW</w:t>
            </w:r>
          </w:p>
        </w:tc>
        <w:tc>
          <w:tcPr>
            <w:tcW w:w="5528" w:type="dxa"/>
            <w:tcBorders>
              <w:top w:val="single" w:sz="4" w:space="0" w:color="auto"/>
              <w:left w:val="single" w:sz="4" w:space="0" w:color="auto"/>
              <w:bottom w:val="single" w:sz="4" w:space="0" w:color="auto"/>
              <w:right w:val="single" w:sz="4" w:space="0" w:color="auto"/>
            </w:tcBorders>
          </w:tcPr>
          <w:p w:rsidR="002D7EC5" w:rsidRPr="00F248B2" w:rsidRDefault="002D7EC5" w:rsidP="002D7EC5">
            <w:pPr>
              <w:spacing w:after="0"/>
              <w:rPr>
                <w:b/>
              </w:rPr>
            </w:pPr>
            <w:r>
              <w:t>Lady Huntingfield</w:t>
            </w:r>
          </w:p>
        </w:tc>
      </w:tr>
    </w:tbl>
    <w:p w:rsidR="002D7EC5" w:rsidRDefault="002D7EC5" w:rsidP="002D7EC5">
      <w:pPr>
        <w:pStyle w:val="Heading3"/>
        <w:rPr>
          <w:rFonts w:hint="eastAsia"/>
        </w:rPr>
      </w:pPr>
      <w:bookmarkStart w:id="58" w:name="_Toc158887375"/>
      <w:r>
        <w:t>Energy Efficiency</w:t>
      </w:r>
      <w:bookmarkEnd w:id="58"/>
    </w:p>
    <w:p w:rsidR="002D7EC5" w:rsidRDefault="002D7EC5" w:rsidP="002D7EC5">
      <w:r>
        <w:t>The City of Melbourne’s ERP and Asset Management Strategy 2015-2026 help to ensure we make the right decisions about community assets, with the right information, by establishing the correct data and processes. The integration of these three elements helps ensure best practice energy efficiency technology is delivered across the life cycle of assets. During FY23, electrification design documents were completed for Boyd Community Hub and Carlton Baths. Additionally building analytics monitoring was installed at 5 sites: East Melbourne Library, Library at the Dock, Kathleen Syme, Kensington Neighbourhood Centre and Lady Huntingfield Childcare.</w:t>
      </w:r>
    </w:p>
    <w:p w:rsidR="002D7EC5" w:rsidRDefault="002D7EC5" w:rsidP="002D7EC5">
      <w:pPr>
        <w:pStyle w:val="Heading3"/>
        <w:rPr>
          <w:rFonts w:hint="eastAsia"/>
        </w:rPr>
      </w:pPr>
      <w:bookmarkStart w:id="59" w:name="_Toc158887376"/>
      <w:r>
        <w:t>Waste Reduction</w:t>
      </w:r>
      <w:bookmarkEnd w:id="59"/>
    </w:p>
    <w:p w:rsidR="002D7EC5" w:rsidRDefault="002D7EC5" w:rsidP="002D7EC5">
      <w:r>
        <w:t xml:space="preserve">The City of Melbourne’s Waste and Resource Recovery Strategy 2030 addresses the emissions generated by waste across the municipality and sets a key target of 1.2Mt CO2-e in greenhouse gas emissions avoided by 2030. The strategy outlines key activities to enhance the circular economy that will reduce environmental impacts, improve the amenity and livability of the city, and make the waste and resource recovery system </w:t>
      </w:r>
      <w:r>
        <w:lastRenderedPageBreak/>
        <w:t>more resilient. The City of Melbourne does not own or operate any landfills; however the waste collected from our facilities is taken to organics and comingled recycling stations and landfills outside the municipality. The indirect emissions associated with recycling and waste collected at our facilities is included in our operational emissions inventory.</w:t>
      </w:r>
    </w:p>
    <w:p w:rsidR="002D7EC5" w:rsidRDefault="002D7EC5" w:rsidP="002D7EC5">
      <w:pPr>
        <w:pStyle w:val="Heading3"/>
        <w:rPr>
          <w:rFonts w:hint="eastAsia"/>
        </w:rPr>
      </w:pPr>
      <w:bookmarkStart w:id="60" w:name="_Toc158887377"/>
      <w:r>
        <w:t>Transport</w:t>
      </w:r>
      <w:bookmarkEnd w:id="60"/>
    </w:p>
    <w:p w:rsidR="002D7EC5" w:rsidRDefault="002D7EC5" w:rsidP="002D7EC5">
      <w:r>
        <w:t>Staff at the City of Melbourne regularly travel by foot, cycling with electric bicycles, taking public transport and driving electric vehicles to avoid emissions through the use of petroleum and diesel run vehicles. Emissions from any work-related air travel are offset. Carbon neutrality for the vehicle fleet is maintained through: offsetting transport fuel, reducing fleet size, reducing the vehicle engine size, introducing electric vehicles, charging electric vehicles in car parks owned by the City of Melbourne, and increasing the weighting given to fuel efficiency in the evaluation criteria for new vehicle purchases. The City of Melbourne’s corporate vehicle fleet comprises 60 vehicles, including 18 fully electric vehicles, 12 hybrid vehicles and 11 plug-in hybrid electric vehicles. Electric and hybrid vehicles constitute 69% of City of Melbourne’s total fleet.</w:t>
      </w:r>
    </w:p>
    <w:p w:rsidR="002D7EC5" w:rsidRDefault="002D7EC5" w:rsidP="002D7EC5">
      <w:pPr>
        <w:pStyle w:val="Heading3"/>
        <w:rPr>
          <w:rFonts w:hint="eastAsia"/>
        </w:rPr>
      </w:pPr>
      <w:bookmarkStart w:id="61" w:name="_Toc158887378"/>
      <w:r>
        <w:t>Events</w:t>
      </w:r>
      <w:bookmarkEnd w:id="61"/>
    </w:p>
    <w:p w:rsidR="002D7EC5" w:rsidRDefault="002D7EC5" w:rsidP="00235B6A">
      <w:r>
        <w:t xml:space="preserve">Since 2018-19, the City of Melbourne has maintained a certified carbon neutral large events portfolio consisting of Melbourne Fashion Week, Melbourne Music Week and Melbourne Knowledge Week. During 2022/23 the famous Moomba Festival, Melbourne Fashion Week and the Docklands Firelight Festival all achieved carbon neutral certification. Preparations were also made to certify the City of Melbourne's newest major event ‘Now or Never’ which ran in from August 17 to September 2, 2023. See more at: </w:t>
      </w:r>
      <w:hyperlink r:id="rId25" w:history="1">
        <w:r w:rsidRPr="002D7EC5">
          <w:rPr>
            <w:rStyle w:val="Hyperlink"/>
          </w:rPr>
          <w:t>Carbon Neutral Events</w:t>
        </w:r>
      </w:hyperlink>
      <w:r>
        <w:rPr>
          <w:rStyle w:val="FootnoteReference"/>
        </w:rPr>
        <w:footnoteReference w:id="11"/>
      </w:r>
      <w:r>
        <w:t>.</w:t>
      </w:r>
      <w:r>
        <w:br w:type="page"/>
      </w:r>
    </w:p>
    <w:p w:rsidR="002D7EC5" w:rsidRDefault="002D7EC5" w:rsidP="002D7EC5">
      <w:pPr>
        <w:pStyle w:val="Heading1"/>
        <w:rPr>
          <w:rFonts w:hint="eastAsia"/>
        </w:rPr>
      </w:pPr>
      <w:bookmarkStart w:id="62" w:name="_Toc158887379"/>
      <w:r>
        <w:lastRenderedPageBreak/>
        <w:t>Appendix B: Electricity Summary</w:t>
      </w:r>
      <w:bookmarkEnd w:id="62"/>
    </w:p>
    <w:p w:rsidR="002D7EC5" w:rsidRDefault="002D7EC5" w:rsidP="002D7EC5">
      <w:r>
        <w:t>There are two international best-practice methods for calculating electricity emissions – the location-based method and the market-based method. Reporting electricity emissions under both methods is called dual reporting.</w:t>
      </w:r>
    </w:p>
    <w:p w:rsidR="002D7EC5" w:rsidRDefault="002D7EC5" w:rsidP="002D7EC5">
      <w:r>
        <w:t>Dual reporting of electricity emissions is useful, as it provides different perspectives of the emissions associated with a business’s electricity usage.</w:t>
      </w:r>
    </w:p>
    <w:p w:rsidR="002D7EC5" w:rsidRDefault="002D7EC5" w:rsidP="002D7EC5">
      <w:r>
        <w:t>Location-based method:</w:t>
      </w:r>
    </w:p>
    <w:p w:rsidR="002D7EC5" w:rsidRDefault="002D7EC5" w:rsidP="002D7EC5">
      <w:r>
        <w:t>The location-based method provides a picture of a business’s electricity emissions in the context of its location, and the emissions intensity of the electricity grid it relies on. It reflects the average emissions intensity of the electricity grid in the location (State) in which energy consumption occurs. The location-based method does not allow for any claims of renewable electricity from grid-imported electricity usage.</w:t>
      </w:r>
    </w:p>
    <w:p w:rsidR="002D7EC5" w:rsidRDefault="002D7EC5" w:rsidP="002D7EC5">
      <w:r>
        <w:t>Market-based method:</w:t>
      </w:r>
    </w:p>
    <w:p w:rsidR="00C77BE7" w:rsidRDefault="002D7EC5" w:rsidP="002D7EC5">
      <w:r>
        <w:t>The market-based method provides a picture of a business’s electricity emissions in the context of its renewable energy investments. It reflects the emissions intensity of different electricity products, markets and investments. It uses a residual mix factor (RMF) to allow for unique claims on the zero emissions attribute of renewables without double-counting.</w:t>
      </w:r>
    </w:p>
    <w:p w:rsidR="002D7EC5" w:rsidRDefault="002D7EC5" w:rsidP="002D7EC5">
      <w:r>
        <w:t>For this certification, electricity emissions have been set by using the market-based approach</w:t>
      </w:r>
      <w:r w:rsidR="00C77BE7">
        <w:t>.</w:t>
      </w:r>
    </w:p>
    <w:p w:rsidR="00C77BE7" w:rsidRDefault="00C77BE7" w:rsidP="00C77BE7">
      <w:pPr>
        <w:pStyle w:val="Heading2"/>
        <w:rPr>
          <w:rFonts w:hint="eastAsia"/>
        </w:rPr>
      </w:pPr>
      <w:bookmarkStart w:id="63" w:name="_Toc88829987"/>
      <w:bookmarkStart w:id="64" w:name="_Toc88562270"/>
      <w:bookmarkStart w:id="65" w:name="_Toc158887380"/>
      <w:r>
        <w:t>Market-based approach summary</w:t>
      </w:r>
      <w:bookmarkEnd w:id="63"/>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949"/>
        <w:gridCol w:w="1417"/>
        <w:gridCol w:w="1134"/>
        <w:gridCol w:w="1269"/>
      </w:tblGrid>
      <w:tr w:rsidR="00C77BE7" w:rsidTr="006F0AF9">
        <w:tc>
          <w:tcPr>
            <w:tcW w:w="5949" w:type="dxa"/>
            <w:tcBorders>
              <w:top w:val="single" w:sz="4" w:space="0" w:color="auto"/>
              <w:left w:val="single" w:sz="4" w:space="0" w:color="auto"/>
              <w:bottom w:val="single" w:sz="4" w:space="0" w:color="auto"/>
              <w:right w:val="single" w:sz="4" w:space="0" w:color="auto"/>
            </w:tcBorders>
            <w:hideMark/>
          </w:tcPr>
          <w:p w:rsidR="00C77BE7" w:rsidRDefault="00C77BE7" w:rsidP="006F0AF9">
            <w:pPr>
              <w:pStyle w:val="TableofFigures"/>
              <w:rPr>
                <w:rFonts w:eastAsia="Cambria"/>
                <w:b/>
              </w:rPr>
            </w:pPr>
            <w:r>
              <w:rPr>
                <w:rFonts w:eastAsia="Cambria"/>
                <w:b/>
              </w:rPr>
              <w:t>Market-based Approach</w:t>
            </w:r>
          </w:p>
        </w:tc>
        <w:tc>
          <w:tcPr>
            <w:tcW w:w="1417" w:type="dxa"/>
            <w:tcBorders>
              <w:top w:val="single" w:sz="4" w:space="0" w:color="auto"/>
              <w:left w:val="single" w:sz="4" w:space="0" w:color="auto"/>
              <w:bottom w:val="single" w:sz="4" w:space="0" w:color="auto"/>
              <w:right w:val="single" w:sz="4" w:space="0" w:color="auto"/>
            </w:tcBorders>
            <w:hideMark/>
          </w:tcPr>
          <w:p w:rsidR="00C77BE7" w:rsidRDefault="00C77BE7" w:rsidP="00235B6A">
            <w:pPr>
              <w:pStyle w:val="TableofFigures"/>
              <w:rPr>
                <w:rFonts w:eastAsia="Cambria"/>
                <w:b/>
              </w:rPr>
            </w:pPr>
            <w:r>
              <w:rPr>
                <w:rFonts w:eastAsia="Cambria"/>
                <w:b/>
              </w:rPr>
              <w:t>Activity Data</w:t>
            </w:r>
            <w:r w:rsidR="00235B6A">
              <w:rPr>
                <w:rFonts w:eastAsia="Cambria"/>
                <w:b/>
              </w:rPr>
              <w:t xml:space="preserve"> </w:t>
            </w:r>
            <w:r>
              <w:rPr>
                <w:rFonts w:eastAsia="Cambria"/>
                <w:b/>
              </w:rPr>
              <w:t>(kWh)</w:t>
            </w:r>
          </w:p>
        </w:tc>
        <w:tc>
          <w:tcPr>
            <w:tcW w:w="1134" w:type="dxa"/>
            <w:tcBorders>
              <w:top w:val="single" w:sz="4" w:space="0" w:color="auto"/>
              <w:left w:val="single" w:sz="4" w:space="0" w:color="auto"/>
              <w:bottom w:val="single" w:sz="4" w:space="0" w:color="auto"/>
              <w:right w:val="single" w:sz="4" w:space="0" w:color="auto"/>
            </w:tcBorders>
            <w:hideMark/>
          </w:tcPr>
          <w:p w:rsidR="00C77BE7" w:rsidRDefault="00C77BE7" w:rsidP="00235B6A">
            <w:pPr>
              <w:pStyle w:val="TableofFigures"/>
              <w:rPr>
                <w:rFonts w:eastAsia="Cambria"/>
                <w:b/>
              </w:rPr>
            </w:pPr>
            <w:r>
              <w:rPr>
                <w:rFonts w:eastAsia="Cambria"/>
                <w:b/>
              </w:rPr>
              <w:t>Emissions</w:t>
            </w:r>
            <w:r w:rsidR="00235B6A">
              <w:rPr>
                <w:rFonts w:eastAsia="Cambria"/>
                <w:b/>
              </w:rPr>
              <w:t xml:space="preserve"> </w:t>
            </w:r>
            <w:r>
              <w:rPr>
                <w:rFonts w:eastAsia="Cambria"/>
                <w:b/>
              </w:rPr>
              <w:t>(kgCO</w:t>
            </w:r>
            <w:r>
              <w:rPr>
                <w:rFonts w:eastAsia="Cambria"/>
                <w:b/>
                <w:vertAlign w:val="subscript"/>
              </w:rPr>
              <w:t>2</w:t>
            </w:r>
            <w:r>
              <w:rPr>
                <w:rFonts w:eastAsia="Cambria"/>
                <w:b/>
              </w:rPr>
              <w:t>e)</w:t>
            </w:r>
          </w:p>
        </w:tc>
        <w:tc>
          <w:tcPr>
            <w:tcW w:w="1269" w:type="dxa"/>
            <w:tcBorders>
              <w:top w:val="single" w:sz="4" w:space="0" w:color="auto"/>
              <w:left w:val="single" w:sz="4" w:space="0" w:color="auto"/>
              <w:bottom w:val="single" w:sz="4" w:space="0" w:color="auto"/>
              <w:right w:val="single" w:sz="4" w:space="0" w:color="auto"/>
            </w:tcBorders>
            <w:hideMark/>
          </w:tcPr>
          <w:p w:rsidR="00C77BE7" w:rsidRDefault="00C77BE7" w:rsidP="006F0AF9">
            <w:pPr>
              <w:pStyle w:val="TableofFigures"/>
              <w:rPr>
                <w:rFonts w:eastAsia="Cambria"/>
                <w:b/>
              </w:rPr>
            </w:pPr>
            <w:r>
              <w:rPr>
                <w:rFonts w:eastAsia="Cambria"/>
                <w:b/>
              </w:rPr>
              <w:t>Renewable Percentage of total</w:t>
            </w:r>
          </w:p>
        </w:tc>
      </w:tr>
      <w:tr w:rsidR="00C77BE7" w:rsidTr="006F0AF9">
        <w:tc>
          <w:tcPr>
            <w:tcW w:w="5949" w:type="dxa"/>
            <w:tcBorders>
              <w:top w:val="single" w:sz="4" w:space="0" w:color="auto"/>
              <w:left w:val="single" w:sz="4" w:space="0" w:color="auto"/>
              <w:bottom w:val="single" w:sz="4" w:space="0" w:color="auto"/>
              <w:right w:val="single" w:sz="4" w:space="0" w:color="auto"/>
            </w:tcBorders>
            <w:hideMark/>
          </w:tcPr>
          <w:p w:rsidR="00C77BE7" w:rsidRDefault="00C77BE7" w:rsidP="006F0AF9">
            <w:pPr>
              <w:pStyle w:val="TableofFigures"/>
              <w:rPr>
                <w:rFonts w:eastAsia="Cambria"/>
              </w:rPr>
            </w:pPr>
            <w:r>
              <w:rPr>
                <w:rFonts w:eastAsia="Cambria"/>
              </w:rPr>
              <w:t>Behind the meter consumption of electricity generated</w:t>
            </w:r>
          </w:p>
        </w:tc>
        <w:tc>
          <w:tcPr>
            <w:tcW w:w="1417"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sidRPr="00C77BE7">
              <w:rPr>
                <w:rFonts w:eastAsia="Cambria"/>
              </w:rPr>
              <w:t>402,481</w:t>
            </w:r>
          </w:p>
        </w:tc>
        <w:tc>
          <w:tcPr>
            <w:tcW w:w="1134"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Pr>
                <w:rFonts w:eastAsia="Cambria"/>
              </w:rPr>
              <w:t>0</w:t>
            </w:r>
          </w:p>
        </w:tc>
        <w:tc>
          <w:tcPr>
            <w:tcW w:w="1269"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Pr>
                <w:rFonts w:eastAsia="Cambria"/>
              </w:rPr>
              <w:t>2%</w:t>
            </w:r>
          </w:p>
        </w:tc>
      </w:tr>
      <w:tr w:rsidR="00C77BE7" w:rsidTr="006F0AF9">
        <w:tc>
          <w:tcPr>
            <w:tcW w:w="5949" w:type="dxa"/>
            <w:tcBorders>
              <w:top w:val="single" w:sz="4" w:space="0" w:color="auto"/>
              <w:left w:val="single" w:sz="4" w:space="0" w:color="auto"/>
              <w:bottom w:val="single" w:sz="4" w:space="0" w:color="auto"/>
              <w:right w:val="single" w:sz="4" w:space="0" w:color="auto"/>
            </w:tcBorders>
            <w:hideMark/>
          </w:tcPr>
          <w:p w:rsidR="00C77BE7" w:rsidRDefault="00C77BE7" w:rsidP="006F0AF9">
            <w:pPr>
              <w:pStyle w:val="TableofFigures"/>
              <w:rPr>
                <w:rFonts w:eastAsia="Cambria"/>
                <w:b/>
              </w:rPr>
            </w:pPr>
            <w:r>
              <w:rPr>
                <w:rFonts w:eastAsia="Cambria"/>
                <w:b/>
              </w:rPr>
              <w:t>Total non-grid electricity</w:t>
            </w:r>
          </w:p>
        </w:tc>
        <w:tc>
          <w:tcPr>
            <w:tcW w:w="1417"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b/>
              </w:rPr>
            </w:pPr>
            <w:r w:rsidRPr="00C77BE7">
              <w:rPr>
                <w:rFonts w:eastAsia="Cambria"/>
                <w:b/>
              </w:rPr>
              <w:t>402,481</w:t>
            </w:r>
          </w:p>
        </w:tc>
        <w:tc>
          <w:tcPr>
            <w:tcW w:w="1134"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b/>
              </w:rPr>
            </w:pPr>
            <w:r>
              <w:rPr>
                <w:rFonts w:eastAsia="Cambria"/>
                <w:b/>
              </w:rPr>
              <w:t>0</w:t>
            </w:r>
          </w:p>
        </w:tc>
        <w:tc>
          <w:tcPr>
            <w:tcW w:w="1269"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b/>
              </w:rPr>
            </w:pPr>
            <w:r>
              <w:rPr>
                <w:rFonts w:eastAsia="Cambria"/>
                <w:b/>
              </w:rPr>
              <w:t>2%</w:t>
            </w:r>
          </w:p>
        </w:tc>
      </w:tr>
      <w:tr w:rsidR="00C77BE7" w:rsidTr="006F0AF9">
        <w:tc>
          <w:tcPr>
            <w:tcW w:w="5949" w:type="dxa"/>
            <w:tcBorders>
              <w:top w:val="single" w:sz="4" w:space="0" w:color="auto"/>
              <w:left w:val="single" w:sz="4" w:space="0" w:color="auto"/>
              <w:bottom w:val="single" w:sz="4" w:space="0" w:color="auto"/>
              <w:right w:val="single" w:sz="4" w:space="0" w:color="auto"/>
            </w:tcBorders>
            <w:hideMark/>
          </w:tcPr>
          <w:p w:rsidR="00C77BE7" w:rsidRDefault="00C77BE7" w:rsidP="006F0AF9">
            <w:pPr>
              <w:pStyle w:val="TableofFigures"/>
              <w:rPr>
                <w:rFonts w:eastAsia="Cambria"/>
              </w:rPr>
            </w:pPr>
            <w:r>
              <w:rPr>
                <w:rFonts w:eastAsia="Cambria"/>
              </w:rPr>
              <w:t>LGC Purchased and retired (kWh) (including PPAs &amp; Precinct LGCs)</w:t>
            </w:r>
          </w:p>
        </w:tc>
        <w:tc>
          <w:tcPr>
            <w:tcW w:w="1417"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sidRPr="00C77BE7">
              <w:rPr>
                <w:rFonts w:eastAsia="Cambria"/>
              </w:rPr>
              <w:t>13,763,000</w:t>
            </w:r>
          </w:p>
        </w:tc>
        <w:tc>
          <w:tcPr>
            <w:tcW w:w="1134"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Pr>
                <w:rFonts w:eastAsia="Cambria"/>
              </w:rPr>
              <w:t>0</w:t>
            </w:r>
          </w:p>
        </w:tc>
        <w:tc>
          <w:tcPr>
            <w:tcW w:w="1269"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Pr>
                <w:rFonts w:eastAsia="Cambria"/>
              </w:rPr>
              <w:t>78%</w:t>
            </w:r>
          </w:p>
        </w:tc>
      </w:tr>
      <w:tr w:rsidR="00C77BE7" w:rsidTr="006F0AF9">
        <w:tc>
          <w:tcPr>
            <w:tcW w:w="5949" w:type="dxa"/>
            <w:tcBorders>
              <w:top w:val="single" w:sz="4" w:space="0" w:color="auto"/>
              <w:left w:val="single" w:sz="4" w:space="0" w:color="auto"/>
              <w:bottom w:val="single" w:sz="4" w:space="0" w:color="auto"/>
              <w:right w:val="single" w:sz="4" w:space="0" w:color="auto"/>
            </w:tcBorders>
            <w:hideMark/>
          </w:tcPr>
          <w:p w:rsidR="00C77BE7" w:rsidRDefault="00C77BE7" w:rsidP="006F0AF9">
            <w:pPr>
              <w:pStyle w:val="TableofFigures"/>
              <w:rPr>
                <w:rFonts w:eastAsia="Cambria"/>
              </w:rPr>
            </w:pPr>
            <w:r>
              <w:rPr>
                <w:rFonts w:eastAsia="Cambria"/>
              </w:rPr>
              <w:t>GreenPower</w:t>
            </w:r>
          </w:p>
        </w:tc>
        <w:tc>
          <w:tcPr>
            <w:tcW w:w="1417"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Pr>
                <w:rFonts w:eastAsia="Cambria"/>
              </w:rPr>
              <w:t>0</w:t>
            </w:r>
          </w:p>
        </w:tc>
        <w:tc>
          <w:tcPr>
            <w:tcW w:w="1134"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Pr>
                <w:rFonts w:eastAsia="Cambria"/>
              </w:rPr>
              <w:t>0</w:t>
            </w:r>
          </w:p>
        </w:tc>
        <w:tc>
          <w:tcPr>
            <w:tcW w:w="1269"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Pr>
                <w:rFonts w:eastAsia="Cambria"/>
              </w:rPr>
              <w:t>0%</w:t>
            </w:r>
          </w:p>
        </w:tc>
      </w:tr>
      <w:tr w:rsidR="00C77BE7" w:rsidTr="006F0AF9">
        <w:tc>
          <w:tcPr>
            <w:tcW w:w="5949" w:type="dxa"/>
            <w:tcBorders>
              <w:top w:val="single" w:sz="4" w:space="0" w:color="auto"/>
              <w:left w:val="single" w:sz="4" w:space="0" w:color="auto"/>
              <w:bottom w:val="single" w:sz="4" w:space="0" w:color="auto"/>
              <w:right w:val="single" w:sz="4" w:space="0" w:color="auto"/>
            </w:tcBorders>
          </w:tcPr>
          <w:p w:rsidR="00C77BE7" w:rsidRDefault="00C77BE7" w:rsidP="006F0AF9">
            <w:pPr>
              <w:pStyle w:val="TableofFigures"/>
              <w:rPr>
                <w:rFonts w:eastAsia="Cambria"/>
              </w:rPr>
            </w:pPr>
            <w:r w:rsidRPr="00C77BE7">
              <w:rPr>
                <w:rFonts w:eastAsia="Cambria"/>
              </w:rPr>
              <w:t>Climate Active precinct/building (voluntary renewables)</w:t>
            </w:r>
          </w:p>
        </w:tc>
        <w:tc>
          <w:tcPr>
            <w:tcW w:w="1417"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c>
          <w:tcPr>
            <w:tcW w:w="1134"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c>
          <w:tcPr>
            <w:tcW w:w="1269"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r>
      <w:tr w:rsidR="00C77BE7" w:rsidTr="006F0AF9">
        <w:tc>
          <w:tcPr>
            <w:tcW w:w="5949" w:type="dxa"/>
            <w:tcBorders>
              <w:top w:val="single" w:sz="4" w:space="0" w:color="auto"/>
              <w:left w:val="single" w:sz="4" w:space="0" w:color="auto"/>
              <w:bottom w:val="single" w:sz="4" w:space="0" w:color="auto"/>
              <w:right w:val="single" w:sz="4" w:space="0" w:color="auto"/>
            </w:tcBorders>
          </w:tcPr>
          <w:p w:rsidR="00C77BE7" w:rsidRPr="00C77BE7" w:rsidRDefault="00C77BE7" w:rsidP="00C77BE7">
            <w:pPr>
              <w:pStyle w:val="TableofFigures"/>
              <w:rPr>
                <w:rFonts w:eastAsia="Cambria"/>
              </w:rPr>
            </w:pPr>
            <w:r w:rsidRPr="00C77BE7">
              <w:rPr>
                <w:rFonts w:eastAsia="Cambria"/>
              </w:rPr>
              <w:t>Precinct/Building (LRET)</w:t>
            </w:r>
          </w:p>
        </w:tc>
        <w:tc>
          <w:tcPr>
            <w:tcW w:w="1417"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c>
          <w:tcPr>
            <w:tcW w:w="1134"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c>
          <w:tcPr>
            <w:tcW w:w="1269"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r>
      <w:tr w:rsidR="00C77BE7" w:rsidTr="006F0AF9">
        <w:tc>
          <w:tcPr>
            <w:tcW w:w="5949" w:type="dxa"/>
            <w:tcBorders>
              <w:top w:val="single" w:sz="4" w:space="0" w:color="auto"/>
              <w:left w:val="single" w:sz="4" w:space="0" w:color="auto"/>
              <w:bottom w:val="single" w:sz="4" w:space="0" w:color="auto"/>
              <w:right w:val="single" w:sz="4" w:space="0" w:color="auto"/>
            </w:tcBorders>
          </w:tcPr>
          <w:p w:rsidR="00C77BE7" w:rsidRPr="00C77BE7" w:rsidRDefault="00C77BE7" w:rsidP="00C77BE7">
            <w:pPr>
              <w:pStyle w:val="TableofFigures"/>
              <w:rPr>
                <w:rFonts w:eastAsia="Cambria"/>
              </w:rPr>
            </w:pPr>
            <w:r w:rsidRPr="00C77BE7">
              <w:rPr>
                <w:rFonts w:eastAsia="Cambria"/>
              </w:rPr>
              <w:t>Precinct/Building jurisdictional renewables (LGCs surrendered)</w:t>
            </w:r>
          </w:p>
        </w:tc>
        <w:tc>
          <w:tcPr>
            <w:tcW w:w="1417"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c>
          <w:tcPr>
            <w:tcW w:w="1134"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c>
          <w:tcPr>
            <w:tcW w:w="1269"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r>
      <w:tr w:rsidR="00C77BE7" w:rsidTr="006F0AF9">
        <w:tc>
          <w:tcPr>
            <w:tcW w:w="5949" w:type="dxa"/>
            <w:tcBorders>
              <w:top w:val="single" w:sz="4" w:space="0" w:color="auto"/>
              <w:left w:val="single" w:sz="4" w:space="0" w:color="auto"/>
              <w:bottom w:val="single" w:sz="4" w:space="0" w:color="auto"/>
              <w:right w:val="single" w:sz="4" w:space="0" w:color="auto"/>
            </w:tcBorders>
          </w:tcPr>
          <w:p w:rsidR="00C77BE7" w:rsidRPr="00C77BE7" w:rsidRDefault="00C77BE7" w:rsidP="00C77BE7">
            <w:pPr>
              <w:pStyle w:val="TableofFigures"/>
              <w:rPr>
                <w:rFonts w:eastAsia="Cambria"/>
              </w:rPr>
            </w:pPr>
            <w:r w:rsidRPr="00C77BE7">
              <w:rPr>
                <w:rFonts w:eastAsia="Cambria"/>
              </w:rPr>
              <w:t>Electricity products (voluntary renewables)</w:t>
            </w:r>
          </w:p>
        </w:tc>
        <w:tc>
          <w:tcPr>
            <w:tcW w:w="1417"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c>
          <w:tcPr>
            <w:tcW w:w="1134"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c>
          <w:tcPr>
            <w:tcW w:w="1269"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r>
      <w:tr w:rsidR="00C77BE7" w:rsidTr="006F0AF9">
        <w:tc>
          <w:tcPr>
            <w:tcW w:w="5949" w:type="dxa"/>
            <w:tcBorders>
              <w:top w:val="single" w:sz="4" w:space="0" w:color="auto"/>
              <w:left w:val="single" w:sz="4" w:space="0" w:color="auto"/>
              <w:bottom w:val="single" w:sz="4" w:space="0" w:color="auto"/>
              <w:right w:val="single" w:sz="4" w:space="0" w:color="auto"/>
            </w:tcBorders>
          </w:tcPr>
          <w:p w:rsidR="00C77BE7" w:rsidRPr="00C77BE7" w:rsidRDefault="00C77BE7" w:rsidP="00C77BE7">
            <w:pPr>
              <w:pStyle w:val="TableofFigures"/>
              <w:rPr>
                <w:rFonts w:eastAsia="Cambria"/>
              </w:rPr>
            </w:pPr>
            <w:r w:rsidRPr="00C77BE7">
              <w:rPr>
                <w:rFonts w:eastAsia="Cambria"/>
              </w:rPr>
              <w:t>Electricity products (LRET)</w:t>
            </w:r>
          </w:p>
        </w:tc>
        <w:tc>
          <w:tcPr>
            <w:tcW w:w="1417"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c>
          <w:tcPr>
            <w:tcW w:w="1134"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c>
          <w:tcPr>
            <w:tcW w:w="1269"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r>
      <w:tr w:rsidR="00C77BE7" w:rsidTr="006F0AF9">
        <w:tc>
          <w:tcPr>
            <w:tcW w:w="5949" w:type="dxa"/>
            <w:tcBorders>
              <w:top w:val="single" w:sz="4" w:space="0" w:color="auto"/>
              <w:left w:val="single" w:sz="4" w:space="0" w:color="auto"/>
              <w:bottom w:val="single" w:sz="4" w:space="0" w:color="auto"/>
              <w:right w:val="single" w:sz="4" w:space="0" w:color="auto"/>
            </w:tcBorders>
          </w:tcPr>
          <w:p w:rsidR="00C77BE7" w:rsidRPr="00C77BE7" w:rsidRDefault="00C77BE7" w:rsidP="00C77BE7">
            <w:pPr>
              <w:pStyle w:val="TableofFigures"/>
              <w:rPr>
                <w:rFonts w:eastAsia="Cambria"/>
              </w:rPr>
            </w:pPr>
            <w:r w:rsidRPr="00C77BE7">
              <w:rPr>
                <w:rFonts w:eastAsia="Cambria"/>
              </w:rPr>
              <w:t>Electricity products jurisdictional renewables (LGCs surrendered)</w:t>
            </w:r>
          </w:p>
        </w:tc>
        <w:tc>
          <w:tcPr>
            <w:tcW w:w="1417"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sidRPr="00C77BE7">
              <w:rPr>
                <w:rFonts w:eastAsia="Cambria"/>
              </w:rPr>
              <w:t>1,223</w:t>
            </w:r>
          </w:p>
        </w:tc>
        <w:tc>
          <w:tcPr>
            <w:tcW w:w="1134"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c>
          <w:tcPr>
            <w:tcW w:w="1269" w:type="dxa"/>
            <w:tcBorders>
              <w:top w:val="single" w:sz="4" w:space="0" w:color="auto"/>
              <w:left w:val="single" w:sz="4" w:space="0" w:color="auto"/>
              <w:bottom w:val="single" w:sz="4" w:space="0" w:color="auto"/>
              <w:right w:val="single" w:sz="4" w:space="0" w:color="auto"/>
            </w:tcBorders>
          </w:tcPr>
          <w:p w:rsidR="00C77BE7" w:rsidRDefault="00C77BE7" w:rsidP="00C77BE7">
            <w:pPr>
              <w:pStyle w:val="TableofFigures"/>
              <w:jc w:val="right"/>
              <w:rPr>
                <w:rFonts w:eastAsia="Cambria"/>
              </w:rPr>
            </w:pPr>
            <w:r>
              <w:rPr>
                <w:rFonts w:eastAsia="Cambria"/>
              </w:rPr>
              <w:t>0%</w:t>
            </w:r>
          </w:p>
        </w:tc>
      </w:tr>
      <w:tr w:rsidR="00C77BE7" w:rsidTr="006F0AF9">
        <w:tc>
          <w:tcPr>
            <w:tcW w:w="5949"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rPr>
                <w:rFonts w:eastAsia="Cambria"/>
              </w:rPr>
            </w:pPr>
            <w:r>
              <w:rPr>
                <w:rFonts w:eastAsia="Cambria"/>
              </w:rPr>
              <w:t>Jurisdictional renewables (LRET) (applied to ACT grid electricity)</w:t>
            </w:r>
          </w:p>
        </w:tc>
        <w:tc>
          <w:tcPr>
            <w:tcW w:w="1417"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Pr>
                <w:rFonts w:eastAsia="Cambria"/>
              </w:rPr>
              <w:t>310</w:t>
            </w:r>
          </w:p>
        </w:tc>
        <w:tc>
          <w:tcPr>
            <w:tcW w:w="1134"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Pr>
                <w:rFonts w:eastAsia="Cambria"/>
              </w:rPr>
              <w:t>0</w:t>
            </w:r>
          </w:p>
        </w:tc>
        <w:tc>
          <w:tcPr>
            <w:tcW w:w="1269"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Pr>
                <w:rFonts w:eastAsia="Cambria"/>
              </w:rPr>
              <w:t>0%</w:t>
            </w:r>
          </w:p>
        </w:tc>
      </w:tr>
      <w:tr w:rsidR="00C77BE7" w:rsidTr="006F0AF9">
        <w:tc>
          <w:tcPr>
            <w:tcW w:w="5949"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rPr>
                <w:rFonts w:eastAsia="Cambria"/>
              </w:rPr>
            </w:pPr>
            <w:r>
              <w:rPr>
                <w:rFonts w:eastAsia="Cambria"/>
              </w:rPr>
              <w:t>Large Scale Renewable Energy Target (applied to grid electricity only)</w:t>
            </w:r>
          </w:p>
        </w:tc>
        <w:tc>
          <w:tcPr>
            <w:tcW w:w="1417"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sidRPr="00C77BE7">
              <w:rPr>
                <w:rFonts w:eastAsia="Cambria"/>
              </w:rPr>
              <w:t>3,260,040</w:t>
            </w:r>
          </w:p>
        </w:tc>
        <w:tc>
          <w:tcPr>
            <w:tcW w:w="1134"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Pr>
                <w:rFonts w:eastAsia="Cambria"/>
              </w:rPr>
              <w:t>0</w:t>
            </w:r>
          </w:p>
        </w:tc>
        <w:tc>
          <w:tcPr>
            <w:tcW w:w="1269"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Pr>
                <w:rFonts w:eastAsia="Cambria"/>
              </w:rPr>
              <w:t>18%</w:t>
            </w:r>
          </w:p>
        </w:tc>
      </w:tr>
      <w:tr w:rsidR="00C77BE7" w:rsidTr="006F0AF9">
        <w:tc>
          <w:tcPr>
            <w:tcW w:w="5949"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rPr>
                <w:rFonts w:eastAsia="Cambria"/>
              </w:rPr>
            </w:pPr>
            <w:r>
              <w:rPr>
                <w:rFonts w:eastAsia="Cambria"/>
              </w:rPr>
              <w:t>Residual Electricity</w:t>
            </w:r>
          </w:p>
        </w:tc>
        <w:tc>
          <w:tcPr>
            <w:tcW w:w="1417"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sidRPr="00C77BE7">
              <w:rPr>
                <w:rFonts w:eastAsia="Cambria"/>
              </w:rPr>
              <w:t>317,715</w:t>
            </w:r>
          </w:p>
        </w:tc>
        <w:tc>
          <w:tcPr>
            <w:tcW w:w="1134"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sidRPr="00C77BE7">
              <w:rPr>
                <w:rFonts w:eastAsia="Cambria"/>
              </w:rPr>
              <w:t>303,418</w:t>
            </w:r>
          </w:p>
        </w:tc>
        <w:tc>
          <w:tcPr>
            <w:tcW w:w="1269"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rPr>
            </w:pPr>
            <w:r>
              <w:rPr>
                <w:rFonts w:eastAsia="Cambria"/>
              </w:rPr>
              <w:t>0%</w:t>
            </w:r>
          </w:p>
        </w:tc>
      </w:tr>
      <w:tr w:rsidR="00C77BE7" w:rsidTr="006F0AF9">
        <w:tc>
          <w:tcPr>
            <w:tcW w:w="5949" w:type="dxa"/>
            <w:tcBorders>
              <w:top w:val="single" w:sz="4" w:space="0" w:color="auto"/>
              <w:left w:val="single" w:sz="4" w:space="0" w:color="auto"/>
              <w:bottom w:val="single" w:sz="4" w:space="0" w:color="auto"/>
              <w:right w:val="single" w:sz="4" w:space="0" w:color="auto"/>
            </w:tcBorders>
          </w:tcPr>
          <w:p w:rsidR="00C77BE7" w:rsidRPr="00C77BE7" w:rsidRDefault="00C77BE7" w:rsidP="00C77BE7">
            <w:pPr>
              <w:pStyle w:val="TableofFigures"/>
              <w:rPr>
                <w:rFonts w:eastAsia="Cambria"/>
                <w:b/>
              </w:rPr>
            </w:pPr>
            <w:r w:rsidRPr="00C77BE7">
              <w:rPr>
                <w:rFonts w:eastAsia="Cambria"/>
                <w:b/>
              </w:rPr>
              <w:t>Total renewable electricity (grid + non grid)</w:t>
            </w:r>
          </w:p>
        </w:tc>
        <w:tc>
          <w:tcPr>
            <w:tcW w:w="1417" w:type="dxa"/>
            <w:tcBorders>
              <w:top w:val="single" w:sz="4" w:space="0" w:color="auto"/>
              <w:left w:val="single" w:sz="4" w:space="0" w:color="auto"/>
              <w:bottom w:val="single" w:sz="4" w:space="0" w:color="auto"/>
              <w:right w:val="single" w:sz="4" w:space="0" w:color="auto"/>
            </w:tcBorders>
          </w:tcPr>
          <w:p w:rsidR="00C77BE7" w:rsidRPr="00C77BE7" w:rsidRDefault="00C77BE7" w:rsidP="00C77BE7">
            <w:pPr>
              <w:pStyle w:val="TableofFigures"/>
              <w:jc w:val="right"/>
              <w:rPr>
                <w:rFonts w:eastAsia="Cambria"/>
                <w:b/>
              </w:rPr>
            </w:pPr>
            <w:r w:rsidRPr="00C77BE7">
              <w:rPr>
                <w:rFonts w:eastAsia="Cambria"/>
                <w:b/>
              </w:rPr>
              <w:t>17,427,055</w:t>
            </w:r>
          </w:p>
        </w:tc>
        <w:tc>
          <w:tcPr>
            <w:tcW w:w="1134" w:type="dxa"/>
            <w:tcBorders>
              <w:top w:val="single" w:sz="4" w:space="0" w:color="auto"/>
              <w:left w:val="single" w:sz="4" w:space="0" w:color="auto"/>
              <w:bottom w:val="single" w:sz="4" w:space="0" w:color="auto"/>
              <w:right w:val="single" w:sz="4" w:space="0" w:color="auto"/>
            </w:tcBorders>
          </w:tcPr>
          <w:p w:rsidR="00C77BE7" w:rsidRPr="00C77BE7" w:rsidRDefault="00C77BE7" w:rsidP="00C77BE7">
            <w:pPr>
              <w:pStyle w:val="TableofFigures"/>
              <w:jc w:val="right"/>
              <w:rPr>
                <w:rFonts w:eastAsia="Cambria"/>
                <w:b/>
              </w:rPr>
            </w:pPr>
            <w:r w:rsidRPr="00C77BE7">
              <w:rPr>
                <w:rFonts w:eastAsia="Cambria"/>
                <w:b/>
              </w:rPr>
              <w:t>0</w:t>
            </w:r>
          </w:p>
        </w:tc>
        <w:tc>
          <w:tcPr>
            <w:tcW w:w="1269" w:type="dxa"/>
            <w:tcBorders>
              <w:top w:val="single" w:sz="4" w:space="0" w:color="auto"/>
              <w:left w:val="single" w:sz="4" w:space="0" w:color="auto"/>
              <w:bottom w:val="single" w:sz="4" w:space="0" w:color="auto"/>
              <w:right w:val="single" w:sz="4" w:space="0" w:color="auto"/>
            </w:tcBorders>
          </w:tcPr>
          <w:p w:rsidR="00C77BE7" w:rsidRPr="00C77BE7" w:rsidRDefault="00C77BE7" w:rsidP="00C77BE7">
            <w:pPr>
              <w:pStyle w:val="TableofFigures"/>
              <w:jc w:val="right"/>
              <w:rPr>
                <w:rFonts w:eastAsia="Cambria"/>
                <w:b/>
              </w:rPr>
            </w:pPr>
            <w:r w:rsidRPr="00C77BE7">
              <w:rPr>
                <w:rFonts w:eastAsia="Cambria"/>
                <w:b/>
              </w:rPr>
              <w:t>98%</w:t>
            </w:r>
          </w:p>
        </w:tc>
      </w:tr>
      <w:tr w:rsidR="00C77BE7" w:rsidTr="006F0AF9">
        <w:tc>
          <w:tcPr>
            <w:tcW w:w="5949"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rPr>
                <w:rFonts w:eastAsia="Cambria"/>
                <w:b/>
              </w:rPr>
            </w:pPr>
            <w:r>
              <w:rPr>
                <w:rFonts w:eastAsia="Cambria"/>
                <w:b/>
              </w:rPr>
              <w:t>Total grid electricity</w:t>
            </w:r>
          </w:p>
        </w:tc>
        <w:tc>
          <w:tcPr>
            <w:tcW w:w="1417"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b/>
              </w:rPr>
            </w:pPr>
            <w:r w:rsidRPr="00C77BE7">
              <w:rPr>
                <w:rFonts w:eastAsia="Cambria"/>
                <w:b/>
              </w:rPr>
              <w:t>17,342,289</w:t>
            </w:r>
          </w:p>
        </w:tc>
        <w:tc>
          <w:tcPr>
            <w:tcW w:w="1134"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b/>
              </w:rPr>
            </w:pPr>
            <w:r w:rsidRPr="00C77BE7">
              <w:rPr>
                <w:rFonts w:eastAsia="Cambria"/>
                <w:b/>
              </w:rPr>
              <w:t>303,418</w:t>
            </w:r>
          </w:p>
        </w:tc>
        <w:tc>
          <w:tcPr>
            <w:tcW w:w="1269" w:type="dxa"/>
            <w:tcBorders>
              <w:top w:val="single" w:sz="4" w:space="0" w:color="auto"/>
              <w:left w:val="single" w:sz="4" w:space="0" w:color="auto"/>
              <w:bottom w:val="single" w:sz="4" w:space="0" w:color="auto"/>
              <w:right w:val="single" w:sz="4" w:space="0" w:color="auto"/>
            </w:tcBorders>
            <w:hideMark/>
          </w:tcPr>
          <w:p w:rsidR="00C77BE7" w:rsidRDefault="00C77BE7" w:rsidP="00C77BE7">
            <w:pPr>
              <w:pStyle w:val="TableofFigures"/>
              <w:jc w:val="right"/>
              <w:rPr>
                <w:rFonts w:eastAsia="Cambria"/>
                <w:b/>
              </w:rPr>
            </w:pPr>
            <w:r>
              <w:rPr>
                <w:rFonts w:eastAsia="Cambria"/>
                <w:b/>
              </w:rPr>
              <w:t>96%</w:t>
            </w:r>
          </w:p>
        </w:tc>
      </w:tr>
      <w:tr w:rsidR="00C77BE7" w:rsidTr="00920FD2">
        <w:tc>
          <w:tcPr>
            <w:tcW w:w="5949" w:type="dxa"/>
            <w:tcBorders>
              <w:top w:val="single" w:sz="4" w:space="0" w:color="auto"/>
              <w:left w:val="single" w:sz="4" w:space="0" w:color="auto"/>
              <w:bottom w:val="single" w:sz="4" w:space="0" w:color="auto"/>
              <w:right w:val="single" w:sz="4" w:space="0" w:color="auto"/>
            </w:tcBorders>
            <w:hideMark/>
          </w:tcPr>
          <w:p w:rsidR="00C77BE7" w:rsidRDefault="00C77BE7" w:rsidP="0058235F">
            <w:pPr>
              <w:pStyle w:val="TableofFigures"/>
              <w:rPr>
                <w:rFonts w:eastAsia="Cambria"/>
                <w:b/>
              </w:rPr>
            </w:pPr>
            <w:r>
              <w:rPr>
                <w:rFonts w:eastAsia="Cambria"/>
                <w:b/>
              </w:rPr>
              <w:lastRenderedPageBreak/>
              <w:t xml:space="preserve">Total </w:t>
            </w:r>
            <w:r w:rsidR="0058235F">
              <w:rPr>
                <w:rFonts w:eastAsia="Cambria"/>
                <w:b/>
              </w:rPr>
              <w:t>electricity</w:t>
            </w:r>
            <w:r>
              <w:rPr>
                <w:rFonts w:eastAsia="Cambria"/>
                <w:b/>
              </w:rPr>
              <w:t>(grid + non grid)</w:t>
            </w:r>
          </w:p>
        </w:tc>
        <w:tc>
          <w:tcPr>
            <w:tcW w:w="1417" w:type="dxa"/>
            <w:tcBorders>
              <w:top w:val="single" w:sz="4" w:space="0" w:color="auto"/>
              <w:left w:val="single" w:sz="4" w:space="0" w:color="auto"/>
              <w:bottom w:val="single" w:sz="4" w:space="0" w:color="auto"/>
              <w:right w:val="single" w:sz="4" w:space="0" w:color="auto"/>
            </w:tcBorders>
          </w:tcPr>
          <w:p w:rsidR="00C77BE7" w:rsidRDefault="0058235F" w:rsidP="00920FD2">
            <w:pPr>
              <w:pStyle w:val="TableofFigures"/>
              <w:jc w:val="right"/>
              <w:rPr>
                <w:rFonts w:eastAsia="Cambria"/>
                <w:b/>
              </w:rPr>
            </w:pPr>
            <w:r w:rsidRPr="0058235F">
              <w:rPr>
                <w:rFonts w:eastAsia="Cambria"/>
                <w:b/>
              </w:rPr>
              <w:t>17,744,770</w:t>
            </w:r>
          </w:p>
        </w:tc>
        <w:tc>
          <w:tcPr>
            <w:tcW w:w="1134" w:type="dxa"/>
            <w:tcBorders>
              <w:top w:val="single" w:sz="4" w:space="0" w:color="auto"/>
              <w:left w:val="single" w:sz="4" w:space="0" w:color="auto"/>
              <w:bottom w:val="single" w:sz="4" w:space="0" w:color="auto"/>
              <w:right w:val="single" w:sz="4" w:space="0" w:color="auto"/>
            </w:tcBorders>
          </w:tcPr>
          <w:p w:rsidR="00C77BE7" w:rsidRDefault="0058235F" w:rsidP="00920FD2">
            <w:pPr>
              <w:pStyle w:val="TableofFigures"/>
              <w:jc w:val="right"/>
              <w:rPr>
                <w:rFonts w:eastAsia="Cambria"/>
                <w:b/>
              </w:rPr>
            </w:pPr>
            <w:r w:rsidRPr="0058235F">
              <w:rPr>
                <w:rFonts w:eastAsia="Cambria"/>
                <w:b/>
              </w:rPr>
              <w:t>303,418</w:t>
            </w:r>
          </w:p>
        </w:tc>
        <w:tc>
          <w:tcPr>
            <w:tcW w:w="1269" w:type="dxa"/>
            <w:tcBorders>
              <w:top w:val="single" w:sz="4" w:space="0" w:color="auto"/>
              <w:left w:val="single" w:sz="4" w:space="0" w:color="auto"/>
              <w:bottom w:val="single" w:sz="4" w:space="0" w:color="auto"/>
              <w:right w:val="single" w:sz="4" w:space="0" w:color="auto"/>
            </w:tcBorders>
            <w:hideMark/>
          </w:tcPr>
          <w:p w:rsidR="00C77BE7" w:rsidRDefault="0058235F" w:rsidP="00920FD2">
            <w:pPr>
              <w:pStyle w:val="TableofFigures"/>
              <w:jc w:val="right"/>
              <w:rPr>
                <w:rFonts w:eastAsia="Cambria"/>
                <w:b/>
              </w:rPr>
            </w:pPr>
            <w:r w:rsidRPr="0058235F">
              <w:rPr>
                <w:rFonts w:eastAsia="Cambria"/>
                <w:b/>
              </w:rPr>
              <w:t>98%</w:t>
            </w:r>
          </w:p>
        </w:tc>
      </w:tr>
      <w:tr w:rsidR="00C77BE7" w:rsidTr="00920FD2">
        <w:tc>
          <w:tcPr>
            <w:tcW w:w="5949" w:type="dxa"/>
            <w:tcBorders>
              <w:top w:val="single" w:sz="4" w:space="0" w:color="auto"/>
              <w:left w:val="single" w:sz="4" w:space="0" w:color="auto"/>
              <w:bottom w:val="single" w:sz="4" w:space="0" w:color="auto"/>
              <w:right w:val="single" w:sz="4" w:space="0" w:color="auto"/>
            </w:tcBorders>
            <w:hideMark/>
          </w:tcPr>
          <w:p w:rsidR="00C77BE7" w:rsidRDefault="0058235F" w:rsidP="00C77BE7">
            <w:pPr>
              <w:pStyle w:val="TableofFigures"/>
              <w:rPr>
                <w:rFonts w:eastAsia="Cambria"/>
              </w:rPr>
            </w:pPr>
            <w:r w:rsidRPr="0058235F">
              <w:rPr>
                <w:rFonts w:eastAsia="Cambria"/>
              </w:rPr>
              <w:t>Percentage of residual electricity consumption under operational control</w:t>
            </w:r>
          </w:p>
        </w:tc>
        <w:tc>
          <w:tcPr>
            <w:tcW w:w="1417" w:type="dxa"/>
            <w:tcBorders>
              <w:top w:val="single" w:sz="4" w:space="0" w:color="auto"/>
              <w:left w:val="single" w:sz="4" w:space="0" w:color="auto"/>
              <w:bottom w:val="single" w:sz="4" w:space="0" w:color="auto"/>
              <w:right w:val="single" w:sz="4" w:space="0" w:color="auto"/>
            </w:tcBorders>
          </w:tcPr>
          <w:p w:rsidR="00C77BE7" w:rsidRDefault="0058235F" w:rsidP="00920FD2">
            <w:pPr>
              <w:pStyle w:val="TableofFigures"/>
              <w:jc w:val="right"/>
              <w:rPr>
                <w:rFonts w:eastAsia="Cambria"/>
              </w:rPr>
            </w:pPr>
            <w:r>
              <w:rPr>
                <w:rFonts w:eastAsia="Cambria"/>
              </w:rPr>
              <w:t>100%</w:t>
            </w:r>
          </w:p>
        </w:tc>
        <w:tc>
          <w:tcPr>
            <w:tcW w:w="1134" w:type="dxa"/>
            <w:tcBorders>
              <w:top w:val="single" w:sz="4" w:space="0" w:color="auto"/>
              <w:left w:val="single" w:sz="4" w:space="0" w:color="auto"/>
              <w:bottom w:val="single" w:sz="4" w:space="0" w:color="auto"/>
              <w:right w:val="single" w:sz="4" w:space="0" w:color="auto"/>
            </w:tcBorders>
          </w:tcPr>
          <w:p w:rsidR="00C77BE7" w:rsidRDefault="0058235F" w:rsidP="00920FD2">
            <w:pPr>
              <w:pStyle w:val="TableofFigures"/>
              <w:jc w:val="right"/>
              <w:rPr>
                <w:rFonts w:eastAsia="Cambria"/>
              </w:rPr>
            </w:pPr>
            <w:r>
              <w:rPr>
                <w:rFonts w:eastAsia="Cambria"/>
              </w:rPr>
              <w:t>N/A</w:t>
            </w:r>
          </w:p>
        </w:tc>
        <w:tc>
          <w:tcPr>
            <w:tcW w:w="1269" w:type="dxa"/>
            <w:tcBorders>
              <w:top w:val="single" w:sz="4" w:space="0" w:color="auto"/>
              <w:left w:val="single" w:sz="4" w:space="0" w:color="auto"/>
              <w:bottom w:val="single" w:sz="4" w:space="0" w:color="auto"/>
              <w:right w:val="single" w:sz="4" w:space="0" w:color="auto"/>
            </w:tcBorders>
          </w:tcPr>
          <w:p w:rsidR="00C77BE7" w:rsidRDefault="00C77BE7" w:rsidP="00920FD2">
            <w:pPr>
              <w:pStyle w:val="TableofFigures"/>
              <w:jc w:val="right"/>
              <w:rPr>
                <w:rFonts w:eastAsia="Cambria"/>
              </w:rPr>
            </w:pPr>
            <w:r>
              <w:rPr>
                <w:rFonts w:eastAsia="Cambria"/>
              </w:rPr>
              <w:t>N/A</w:t>
            </w:r>
          </w:p>
        </w:tc>
      </w:tr>
      <w:tr w:rsidR="00C77BE7" w:rsidTr="00920FD2">
        <w:tc>
          <w:tcPr>
            <w:tcW w:w="5949" w:type="dxa"/>
            <w:tcBorders>
              <w:top w:val="single" w:sz="4" w:space="0" w:color="auto"/>
              <w:left w:val="single" w:sz="4" w:space="0" w:color="auto"/>
              <w:bottom w:val="single" w:sz="4" w:space="0" w:color="auto"/>
              <w:right w:val="single" w:sz="4" w:space="0" w:color="auto"/>
            </w:tcBorders>
            <w:hideMark/>
          </w:tcPr>
          <w:p w:rsidR="00C77BE7" w:rsidRPr="0058235F" w:rsidRDefault="0058235F" w:rsidP="00C77BE7">
            <w:pPr>
              <w:pStyle w:val="TableofFigures"/>
              <w:rPr>
                <w:rFonts w:eastAsia="Cambria"/>
                <w:b/>
              </w:rPr>
            </w:pPr>
            <w:r w:rsidRPr="0058235F">
              <w:rPr>
                <w:rFonts w:eastAsia="Cambria"/>
                <w:b/>
              </w:rPr>
              <w:t>Residual electricity consumption under operational control</w:t>
            </w:r>
          </w:p>
        </w:tc>
        <w:tc>
          <w:tcPr>
            <w:tcW w:w="1417" w:type="dxa"/>
            <w:tcBorders>
              <w:top w:val="single" w:sz="4" w:space="0" w:color="auto"/>
              <w:left w:val="single" w:sz="4" w:space="0" w:color="auto"/>
              <w:bottom w:val="single" w:sz="4" w:space="0" w:color="auto"/>
              <w:right w:val="single" w:sz="4" w:space="0" w:color="auto"/>
            </w:tcBorders>
          </w:tcPr>
          <w:p w:rsidR="00C77BE7" w:rsidRPr="0058235F" w:rsidRDefault="0058235F" w:rsidP="00920FD2">
            <w:pPr>
              <w:pStyle w:val="TableofFigures"/>
              <w:jc w:val="right"/>
              <w:rPr>
                <w:rFonts w:eastAsia="Cambria"/>
                <w:b/>
              </w:rPr>
            </w:pPr>
            <w:r w:rsidRPr="0058235F">
              <w:rPr>
                <w:rFonts w:eastAsia="Cambria"/>
                <w:b/>
              </w:rPr>
              <w:t>317,715</w:t>
            </w:r>
          </w:p>
        </w:tc>
        <w:tc>
          <w:tcPr>
            <w:tcW w:w="1134" w:type="dxa"/>
            <w:tcBorders>
              <w:top w:val="single" w:sz="4" w:space="0" w:color="auto"/>
              <w:left w:val="single" w:sz="4" w:space="0" w:color="auto"/>
              <w:bottom w:val="single" w:sz="4" w:space="0" w:color="auto"/>
              <w:right w:val="single" w:sz="4" w:space="0" w:color="auto"/>
            </w:tcBorders>
          </w:tcPr>
          <w:p w:rsidR="00C77BE7" w:rsidRPr="0058235F" w:rsidRDefault="0058235F" w:rsidP="00920FD2">
            <w:pPr>
              <w:pStyle w:val="TableofFigures"/>
              <w:jc w:val="right"/>
              <w:rPr>
                <w:rFonts w:eastAsia="Cambria"/>
                <w:b/>
              </w:rPr>
            </w:pPr>
            <w:r w:rsidRPr="0058235F">
              <w:rPr>
                <w:rFonts w:eastAsia="Cambria"/>
                <w:b/>
              </w:rPr>
              <w:t>303,418</w:t>
            </w:r>
          </w:p>
        </w:tc>
        <w:tc>
          <w:tcPr>
            <w:tcW w:w="1269" w:type="dxa"/>
            <w:tcBorders>
              <w:top w:val="single" w:sz="4" w:space="0" w:color="auto"/>
              <w:left w:val="single" w:sz="4" w:space="0" w:color="auto"/>
              <w:bottom w:val="single" w:sz="4" w:space="0" w:color="auto"/>
              <w:right w:val="single" w:sz="4" w:space="0" w:color="auto"/>
            </w:tcBorders>
          </w:tcPr>
          <w:p w:rsidR="00C77BE7" w:rsidRDefault="00C77BE7" w:rsidP="00920FD2">
            <w:pPr>
              <w:pStyle w:val="TableofFigures"/>
              <w:jc w:val="right"/>
              <w:rPr>
                <w:rFonts w:eastAsia="Cambria"/>
              </w:rPr>
            </w:pPr>
            <w:r>
              <w:rPr>
                <w:rFonts w:eastAsia="Cambria"/>
              </w:rPr>
              <w:t>N/A</w:t>
            </w:r>
          </w:p>
        </w:tc>
      </w:tr>
      <w:tr w:rsidR="00C77BE7" w:rsidTr="00920FD2">
        <w:tc>
          <w:tcPr>
            <w:tcW w:w="5949" w:type="dxa"/>
            <w:tcBorders>
              <w:top w:val="single" w:sz="4" w:space="0" w:color="auto"/>
              <w:left w:val="single" w:sz="4" w:space="0" w:color="auto"/>
              <w:bottom w:val="single" w:sz="4" w:space="0" w:color="auto"/>
              <w:right w:val="single" w:sz="4" w:space="0" w:color="auto"/>
            </w:tcBorders>
            <w:hideMark/>
          </w:tcPr>
          <w:p w:rsidR="00C77BE7" w:rsidRDefault="0058235F" w:rsidP="00C77BE7">
            <w:pPr>
              <w:pStyle w:val="TableofFigures"/>
              <w:rPr>
                <w:rFonts w:eastAsia="Cambria"/>
              </w:rPr>
            </w:pPr>
            <w:r w:rsidRPr="0058235F">
              <w:rPr>
                <w:rFonts w:eastAsia="Cambria"/>
              </w:rPr>
              <w:t>Scope 2</w:t>
            </w:r>
          </w:p>
        </w:tc>
        <w:tc>
          <w:tcPr>
            <w:tcW w:w="1417" w:type="dxa"/>
            <w:tcBorders>
              <w:top w:val="single" w:sz="4" w:space="0" w:color="auto"/>
              <w:left w:val="single" w:sz="4" w:space="0" w:color="auto"/>
              <w:bottom w:val="single" w:sz="4" w:space="0" w:color="auto"/>
              <w:right w:val="single" w:sz="4" w:space="0" w:color="auto"/>
            </w:tcBorders>
          </w:tcPr>
          <w:p w:rsidR="00C77BE7" w:rsidRDefault="0058235F" w:rsidP="0058235F">
            <w:pPr>
              <w:pStyle w:val="TableofFigures"/>
              <w:jc w:val="right"/>
              <w:rPr>
                <w:rFonts w:eastAsia="Cambria"/>
              </w:rPr>
            </w:pPr>
            <w:r w:rsidRPr="0058235F">
              <w:rPr>
                <w:rFonts w:eastAsia="Cambria"/>
              </w:rPr>
              <w:t>280,580</w:t>
            </w:r>
          </w:p>
        </w:tc>
        <w:tc>
          <w:tcPr>
            <w:tcW w:w="1134" w:type="dxa"/>
            <w:tcBorders>
              <w:top w:val="single" w:sz="4" w:space="0" w:color="auto"/>
              <w:left w:val="single" w:sz="4" w:space="0" w:color="auto"/>
              <w:bottom w:val="single" w:sz="4" w:space="0" w:color="auto"/>
              <w:right w:val="single" w:sz="4" w:space="0" w:color="auto"/>
            </w:tcBorders>
          </w:tcPr>
          <w:p w:rsidR="00C77BE7" w:rsidRDefault="0058235F" w:rsidP="00920FD2">
            <w:pPr>
              <w:pStyle w:val="TableofFigures"/>
              <w:jc w:val="right"/>
              <w:rPr>
                <w:rFonts w:eastAsia="Cambria"/>
              </w:rPr>
            </w:pPr>
            <w:r w:rsidRPr="0058235F">
              <w:rPr>
                <w:rFonts w:eastAsia="Cambria"/>
              </w:rPr>
              <w:t>267,954</w:t>
            </w:r>
          </w:p>
        </w:tc>
        <w:tc>
          <w:tcPr>
            <w:tcW w:w="1269" w:type="dxa"/>
            <w:tcBorders>
              <w:top w:val="single" w:sz="4" w:space="0" w:color="auto"/>
              <w:left w:val="single" w:sz="4" w:space="0" w:color="auto"/>
              <w:bottom w:val="single" w:sz="4" w:space="0" w:color="auto"/>
              <w:right w:val="single" w:sz="4" w:space="0" w:color="auto"/>
            </w:tcBorders>
          </w:tcPr>
          <w:p w:rsidR="00C77BE7" w:rsidRDefault="00C77BE7" w:rsidP="00920FD2">
            <w:pPr>
              <w:pStyle w:val="TableofFigures"/>
              <w:jc w:val="right"/>
              <w:rPr>
                <w:rFonts w:eastAsia="Cambria"/>
              </w:rPr>
            </w:pPr>
            <w:r>
              <w:rPr>
                <w:rFonts w:eastAsia="Cambria"/>
              </w:rPr>
              <w:t>N/A</w:t>
            </w:r>
          </w:p>
        </w:tc>
      </w:tr>
      <w:tr w:rsidR="0058235F" w:rsidTr="00920FD2">
        <w:tc>
          <w:tcPr>
            <w:tcW w:w="5949" w:type="dxa"/>
            <w:tcBorders>
              <w:top w:val="single" w:sz="4" w:space="0" w:color="auto"/>
              <w:left w:val="single" w:sz="4" w:space="0" w:color="auto"/>
              <w:bottom w:val="single" w:sz="4" w:space="0" w:color="auto"/>
              <w:right w:val="single" w:sz="4" w:space="0" w:color="auto"/>
            </w:tcBorders>
          </w:tcPr>
          <w:p w:rsidR="0058235F" w:rsidRPr="0058235F" w:rsidRDefault="0058235F" w:rsidP="00C77BE7">
            <w:pPr>
              <w:pStyle w:val="TableofFigures"/>
              <w:rPr>
                <w:rFonts w:eastAsia="Cambria"/>
              </w:rPr>
            </w:pPr>
            <w:r w:rsidRPr="0058235F">
              <w:rPr>
                <w:rFonts w:eastAsia="Cambria"/>
              </w:rPr>
              <w:t>Scope 3 (includes T&amp;D emissions from consumption under operational control)</w:t>
            </w:r>
          </w:p>
        </w:tc>
        <w:tc>
          <w:tcPr>
            <w:tcW w:w="1417" w:type="dxa"/>
            <w:tcBorders>
              <w:top w:val="single" w:sz="4" w:space="0" w:color="auto"/>
              <w:left w:val="single" w:sz="4" w:space="0" w:color="auto"/>
              <w:bottom w:val="single" w:sz="4" w:space="0" w:color="auto"/>
              <w:right w:val="single" w:sz="4" w:space="0" w:color="auto"/>
            </w:tcBorders>
          </w:tcPr>
          <w:p w:rsidR="0058235F" w:rsidRPr="0058235F" w:rsidRDefault="0058235F" w:rsidP="0058235F">
            <w:pPr>
              <w:pStyle w:val="TableofFigures"/>
              <w:jc w:val="right"/>
              <w:rPr>
                <w:rFonts w:eastAsia="Cambria"/>
              </w:rPr>
            </w:pPr>
            <w:r w:rsidRPr="0058235F">
              <w:rPr>
                <w:rFonts w:eastAsia="Cambria"/>
              </w:rPr>
              <w:t>37,136</w:t>
            </w:r>
          </w:p>
        </w:tc>
        <w:tc>
          <w:tcPr>
            <w:tcW w:w="1134" w:type="dxa"/>
            <w:tcBorders>
              <w:top w:val="single" w:sz="4" w:space="0" w:color="auto"/>
              <w:left w:val="single" w:sz="4" w:space="0" w:color="auto"/>
              <w:bottom w:val="single" w:sz="4" w:space="0" w:color="auto"/>
              <w:right w:val="single" w:sz="4" w:space="0" w:color="auto"/>
            </w:tcBorders>
          </w:tcPr>
          <w:p w:rsidR="0058235F" w:rsidRPr="0058235F" w:rsidRDefault="0058235F" w:rsidP="00920FD2">
            <w:pPr>
              <w:pStyle w:val="TableofFigures"/>
              <w:jc w:val="right"/>
              <w:rPr>
                <w:rFonts w:eastAsia="Cambria"/>
              </w:rPr>
            </w:pPr>
            <w:r w:rsidRPr="0058235F">
              <w:rPr>
                <w:rFonts w:eastAsia="Cambria"/>
              </w:rPr>
              <w:t>35,464</w:t>
            </w:r>
          </w:p>
        </w:tc>
        <w:tc>
          <w:tcPr>
            <w:tcW w:w="1269" w:type="dxa"/>
            <w:tcBorders>
              <w:top w:val="single" w:sz="4" w:space="0" w:color="auto"/>
              <w:left w:val="single" w:sz="4" w:space="0" w:color="auto"/>
              <w:bottom w:val="single" w:sz="4" w:space="0" w:color="auto"/>
              <w:right w:val="single" w:sz="4" w:space="0" w:color="auto"/>
            </w:tcBorders>
          </w:tcPr>
          <w:p w:rsidR="0058235F" w:rsidRDefault="00F652C3" w:rsidP="00920FD2">
            <w:pPr>
              <w:pStyle w:val="TableofFigures"/>
              <w:jc w:val="right"/>
              <w:rPr>
                <w:rFonts w:eastAsia="Cambria"/>
              </w:rPr>
            </w:pPr>
            <w:r>
              <w:rPr>
                <w:rFonts w:eastAsia="Cambria"/>
              </w:rPr>
              <w:t>N/A</w:t>
            </w:r>
          </w:p>
        </w:tc>
      </w:tr>
      <w:tr w:rsidR="0058235F" w:rsidTr="00920FD2">
        <w:tc>
          <w:tcPr>
            <w:tcW w:w="5949" w:type="dxa"/>
            <w:tcBorders>
              <w:top w:val="single" w:sz="4" w:space="0" w:color="auto"/>
              <w:left w:val="single" w:sz="4" w:space="0" w:color="auto"/>
              <w:bottom w:val="single" w:sz="4" w:space="0" w:color="auto"/>
              <w:right w:val="single" w:sz="4" w:space="0" w:color="auto"/>
            </w:tcBorders>
          </w:tcPr>
          <w:p w:rsidR="0058235F" w:rsidRPr="0058235F" w:rsidRDefault="0058235F" w:rsidP="00C77BE7">
            <w:pPr>
              <w:pStyle w:val="TableofFigures"/>
              <w:rPr>
                <w:rFonts w:eastAsia="Cambria"/>
                <w:b/>
              </w:rPr>
            </w:pPr>
            <w:r w:rsidRPr="0058235F">
              <w:rPr>
                <w:rFonts w:eastAsia="Cambria"/>
                <w:b/>
              </w:rPr>
              <w:t>Residual electricity consumption not under operational control</w:t>
            </w:r>
          </w:p>
        </w:tc>
        <w:tc>
          <w:tcPr>
            <w:tcW w:w="1417" w:type="dxa"/>
            <w:tcBorders>
              <w:top w:val="single" w:sz="4" w:space="0" w:color="auto"/>
              <w:left w:val="single" w:sz="4" w:space="0" w:color="auto"/>
              <w:bottom w:val="single" w:sz="4" w:space="0" w:color="auto"/>
              <w:right w:val="single" w:sz="4" w:space="0" w:color="auto"/>
            </w:tcBorders>
          </w:tcPr>
          <w:p w:rsidR="0058235F" w:rsidRPr="0058235F" w:rsidRDefault="0058235F" w:rsidP="0058235F">
            <w:pPr>
              <w:pStyle w:val="TableofFigures"/>
              <w:jc w:val="right"/>
              <w:rPr>
                <w:rFonts w:eastAsia="Cambria"/>
                <w:b/>
              </w:rPr>
            </w:pPr>
            <w:r w:rsidRPr="0058235F">
              <w:rPr>
                <w:rFonts w:eastAsia="Cambria"/>
                <w:b/>
              </w:rPr>
              <w:t>0</w:t>
            </w:r>
          </w:p>
        </w:tc>
        <w:tc>
          <w:tcPr>
            <w:tcW w:w="1134" w:type="dxa"/>
            <w:tcBorders>
              <w:top w:val="single" w:sz="4" w:space="0" w:color="auto"/>
              <w:left w:val="single" w:sz="4" w:space="0" w:color="auto"/>
              <w:bottom w:val="single" w:sz="4" w:space="0" w:color="auto"/>
              <w:right w:val="single" w:sz="4" w:space="0" w:color="auto"/>
            </w:tcBorders>
          </w:tcPr>
          <w:p w:rsidR="0058235F" w:rsidRPr="0058235F" w:rsidRDefault="0058235F" w:rsidP="00920FD2">
            <w:pPr>
              <w:pStyle w:val="TableofFigures"/>
              <w:jc w:val="right"/>
              <w:rPr>
                <w:rFonts w:eastAsia="Cambria"/>
                <w:b/>
              </w:rPr>
            </w:pPr>
            <w:r w:rsidRPr="0058235F">
              <w:rPr>
                <w:rFonts w:eastAsia="Cambria"/>
                <w:b/>
              </w:rPr>
              <w:t>0</w:t>
            </w:r>
          </w:p>
        </w:tc>
        <w:tc>
          <w:tcPr>
            <w:tcW w:w="1269" w:type="dxa"/>
            <w:tcBorders>
              <w:top w:val="single" w:sz="4" w:space="0" w:color="auto"/>
              <w:left w:val="single" w:sz="4" w:space="0" w:color="auto"/>
              <w:bottom w:val="single" w:sz="4" w:space="0" w:color="auto"/>
              <w:right w:val="single" w:sz="4" w:space="0" w:color="auto"/>
            </w:tcBorders>
          </w:tcPr>
          <w:p w:rsidR="0058235F" w:rsidRDefault="00F652C3" w:rsidP="00920FD2">
            <w:pPr>
              <w:pStyle w:val="TableofFigures"/>
              <w:jc w:val="right"/>
              <w:rPr>
                <w:rFonts w:eastAsia="Cambria"/>
              </w:rPr>
            </w:pPr>
            <w:r>
              <w:rPr>
                <w:rFonts w:eastAsia="Cambria"/>
              </w:rPr>
              <w:t>N/A</w:t>
            </w:r>
          </w:p>
        </w:tc>
      </w:tr>
      <w:tr w:rsidR="0058235F" w:rsidTr="00920FD2">
        <w:tc>
          <w:tcPr>
            <w:tcW w:w="5949" w:type="dxa"/>
            <w:tcBorders>
              <w:top w:val="single" w:sz="4" w:space="0" w:color="auto"/>
              <w:left w:val="single" w:sz="4" w:space="0" w:color="auto"/>
              <w:bottom w:val="single" w:sz="4" w:space="0" w:color="auto"/>
              <w:right w:val="single" w:sz="4" w:space="0" w:color="auto"/>
            </w:tcBorders>
          </w:tcPr>
          <w:p w:rsidR="0058235F" w:rsidRPr="0058235F" w:rsidRDefault="0058235F" w:rsidP="00C77BE7">
            <w:pPr>
              <w:pStyle w:val="TableofFigures"/>
              <w:rPr>
                <w:rFonts w:eastAsia="Cambria"/>
              </w:rPr>
            </w:pPr>
            <w:r>
              <w:rPr>
                <w:rFonts w:eastAsia="Cambria"/>
              </w:rPr>
              <w:t>Scope 3</w:t>
            </w:r>
          </w:p>
        </w:tc>
        <w:tc>
          <w:tcPr>
            <w:tcW w:w="1417" w:type="dxa"/>
            <w:tcBorders>
              <w:top w:val="single" w:sz="4" w:space="0" w:color="auto"/>
              <w:left w:val="single" w:sz="4" w:space="0" w:color="auto"/>
              <w:bottom w:val="single" w:sz="4" w:space="0" w:color="auto"/>
              <w:right w:val="single" w:sz="4" w:space="0" w:color="auto"/>
            </w:tcBorders>
          </w:tcPr>
          <w:p w:rsidR="0058235F" w:rsidRPr="0058235F" w:rsidRDefault="0058235F" w:rsidP="0058235F">
            <w:pPr>
              <w:pStyle w:val="TableofFigures"/>
              <w:jc w:val="right"/>
              <w:rPr>
                <w:rFonts w:eastAsia="Cambria"/>
              </w:rPr>
            </w:pPr>
            <w:r>
              <w:rPr>
                <w:rFonts w:eastAsia="Cambria"/>
              </w:rPr>
              <w:t>0</w:t>
            </w:r>
          </w:p>
        </w:tc>
        <w:tc>
          <w:tcPr>
            <w:tcW w:w="1134" w:type="dxa"/>
            <w:tcBorders>
              <w:top w:val="single" w:sz="4" w:space="0" w:color="auto"/>
              <w:left w:val="single" w:sz="4" w:space="0" w:color="auto"/>
              <w:bottom w:val="single" w:sz="4" w:space="0" w:color="auto"/>
              <w:right w:val="single" w:sz="4" w:space="0" w:color="auto"/>
            </w:tcBorders>
          </w:tcPr>
          <w:p w:rsidR="0058235F" w:rsidRPr="0058235F" w:rsidRDefault="0058235F" w:rsidP="00920FD2">
            <w:pPr>
              <w:pStyle w:val="TableofFigures"/>
              <w:jc w:val="right"/>
              <w:rPr>
                <w:rFonts w:eastAsia="Cambria"/>
              </w:rPr>
            </w:pPr>
            <w:r>
              <w:rPr>
                <w:rFonts w:eastAsia="Cambria"/>
              </w:rPr>
              <w:t>0</w:t>
            </w:r>
          </w:p>
        </w:tc>
        <w:tc>
          <w:tcPr>
            <w:tcW w:w="1269" w:type="dxa"/>
            <w:tcBorders>
              <w:top w:val="single" w:sz="4" w:space="0" w:color="auto"/>
              <w:left w:val="single" w:sz="4" w:space="0" w:color="auto"/>
              <w:bottom w:val="single" w:sz="4" w:space="0" w:color="auto"/>
              <w:right w:val="single" w:sz="4" w:space="0" w:color="auto"/>
            </w:tcBorders>
          </w:tcPr>
          <w:p w:rsidR="0058235F" w:rsidRDefault="00F652C3" w:rsidP="00920FD2">
            <w:pPr>
              <w:pStyle w:val="TableofFigures"/>
              <w:jc w:val="right"/>
              <w:rPr>
                <w:rFonts w:eastAsia="Cambria"/>
              </w:rPr>
            </w:pPr>
            <w:r>
              <w:rPr>
                <w:rFonts w:eastAsia="Cambria"/>
              </w:rPr>
              <w:t>N/A</w:t>
            </w:r>
          </w:p>
        </w:tc>
      </w:tr>
    </w:tbl>
    <w:p w:rsidR="0058235F" w:rsidRPr="00A6601E" w:rsidRDefault="0058235F" w:rsidP="0058235F">
      <w:pPr>
        <w:pStyle w:val="ListBullet"/>
        <w:spacing w:before="120" w:after="60"/>
      </w:pPr>
      <w:r w:rsidRPr="00A6601E">
        <w:t>Total renewables (grid and non-grid)</w:t>
      </w:r>
      <w:r>
        <w:t>: 98.21</w:t>
      </w:r>
      <w:r w:rsidRPr="00A6601E">
        <w:t>%</w:t>
      </w:r>
    </w:p>
    <w:p w:rsidR="0058235F" w:rsidRPr="00A6601E" w:rsidRDefault="0058235F" w:rsidP="0058235F">
      <w:pPr>
        <w:pStyle w:val="ListBullet"/>
        <w:spacing w:after="60"/>
      </w:pPr>
      <w:r w:rsidRPr="00A6601E">
        <w:t>Mandatory</w:t>
      </w:r>
      <w:r>
        <w:t>: 18.37</w:t>
      </w:r>
      <w:r w:rsidRPr="00A6601E">
        <w:t>%</w:t>
      </w:r>
    </w:p>
    <w:p w:rsidR="0058235F" w:rsidRPr="00A6601E" w:rsidRDefault="0058235F" w:rsidP="0058235F">
      <w:pPr>
        <w:pStyle w:val="ListBullet"/>
        <w:spacing w:after="60"/>
      </w:pPr>
      <w:r w:rsidRPr="00A6601E">
        <w:t>Voluntary</w:t>
      </w:r>
      <w:r>
        <w:t>: 77.57</w:t>
      </w:r>
      <w:r w:rsidRPr="00A6601E">
        <w:t>%</w:t>
      </w:r>
    </w:p>
    <w:p w:rsidR="00C77BE7" w:rsidRDefault="0058235F" w:rsidP="002D7EC5">
      <w:pPr>
        <w:pStyle w:val="ListBullet"/>
        <w:spacing w:after="60"/>
      </w:pPr>
      <w:r w:rsidRPr="00A6601E">
        <w:t>Behind the meter</w:t>
      </w:r>
      <w:r>
        <w:t>: 2.27</w:t>
      </w:r>
      <w:r w:rsidRPr="00A6601E">
        <w:t>%</w:t>
      </w:r>
    </w:p>
    <w:p w:rsidR="0058235F" w:rsidRDefault="0058235F" w:rsidP="0058235F">
      <w:pPr>
        <w:pStyle w:val="ListBullet"/>
      </w:pPr>
      <w:r w:rsidRPr="0058235F">
        <w:t>Residual scope 2 emissions (t CO</w:t>
      </w:r>
      <w:r w:rsidRPr="0058235F">
        <w:rPr>
          <w:vertAlign w:val="subscript"/>
        </w:rPr>
        <w:t>2</w:t>
      </w:r>
      <w:r w:rsidRPr="0058235F">
        <w:t>e)</w:t>
      </w:r>
      <w:r>
        <w:t>: 267.95</w:t>
      </w:r>
    </w:p>
    <w:p w:rsidR="0058235F" w:rsidRDefault="0058235F" w:rsidP="0058235F">
      <w:pPr>
        <w:pStyle w:val="ListBullet"/>
      </w:pPr>
      <w:r w:rsidRPr="0058235F">
        <w:t>Residual scope 3 emissions (t CO</w:t>
      </w:r>
      <w:r w:rsidRPr="0058235F">
        <w:rPr>
          <w:vertAlign w:val="subscript"/>
        </w:rPr>
        <w:t>2</w:t>
      </w:r>
      <w:r w:rsidRPr="0058235F">
        <w:t>e)</w:t>
      </w:r>
      <w:r>
        <w:t>: 35.46</w:t>
      </w:r>
    </w:p>
    <w:p w:rsidR="0058235F" w:rsidRDefault="0058235F" w:rsidP="0058235F">
      <w:pPr>
        <w:pStyle w:val="ListBullet"/>
      </w:pPr>
      <w:r w:rsidRPr="0058235F">
        <w:t>Scope 2 emissions liability (adjusted for already offset carbon neutral electricity) (t CO</w:t>
      </w:r>
      <w:r w:rsidRPr="00C87D88">
        <w:rPr>
          <w:vertAlign w:val="subscript"/>
        </w:rPr>
        <w:t>2</w:t>
      </w:r>
      <w:r w:rsidRPr="0058235F">
        <w:t>e)</w:t>
      </w:r>
      <w:r>
        <w:t>: 267.95</w:t>
      </w:r>
    </w:p>
    <w:p w:rsidR="0058235F" w:rsidRDefault="0058235F" w:rsidP="0058235F">
      <w:pPr>
        <w:pStyle w:val="ListBullet"/>
      </w:pPr>
      <w:r w:rsidRPr="0058235F">
        <w:t>Scope 3 emissions liability (adjusted for already offset carbon neutral electricity) (t CO</w:t>
      </w:r>
      <w:r w:rsidRPr="00C87D88">
        <w:rPr>
          <w:vertAlign w:val="subscript"/>
        </w:rPr>
        <w:t>2</w:t>
      </w:r>
      <w:r w:rsidRPr="0058235F">
        <w:t>e)</w:t>
      </w:r>
      <w:r>
        <w:t>: 35.46</w:t>
      </w:r>
    </w:p>
    <w:p w:rsidR="0058235F" w:rsidRDefault="0058235F" w:rsidP="0058235F">
      <w:pPr>
        <w:pStyle w:val="ListBullet"/>
      </w:pPr>
      <w:r w:rsidRPr="0058235F">
        <w:t>Total emissions liability (t CO</w:t>
      </w:r>
      <w:r w:rsidRPr="00C87D88">
        <w:rPr>
          <w:vertAlign w:val="subscript"/>
        </w:rPr>
        <w:t>2</w:t>
      </w:r>
      <w:r w:rsidRPr="0058235F">
        <w:t>e)</w:t>
      </w:r>
      <w:r>
        <w:t>: 303.42</w:t>
      </w:r>
    </w:p>
    <w:p w:rsidR="0058235F" w:rsidRPr="0058235F" w:rsidRDefault="0058235F" w:rsidP="0058235F">
      <w:pPr>
        <w:pStyle w:val="ListBullet"/>
        <w:numPr>
          <w:ilvl w:val="0"/>
          <w:numId w:val="0"/>
        </w:numPr>
        <w:ind w:left="357" w:hanging="357"/>
        <w:rPr>
          <w:i/>
        </w:rPr>
      </w:pPr>
      <w:r w:rsidRPr="0058235F">
        <w:rPr>
          <w:i/>
        </w:rPr>
        <w:t>Figures may not sum due to rounding. Renewable percentage can be above 100%</w:t>
      </w:r>
    </w:p>
    <w:p w:rsidR="006F0AF9" w:rsidRDefault="006F0AF9" w:rsidP="006F0AF9">
      <w:pPr>
        <w:pStyle w:val="Heading2"/>
        <w:rPr>
          <w:rFonts w:hint="eastAsia"/>
        </w:rPr>
      </w:pPr>
      <w:bookmarkStart w:id="66" w:name="_Toc158887381"/>
      <w:r>
        <w:t>Location-based approach summary</w:t>
      </w:r>
      <w:bookmarkEnd w:id="66"/>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02"/>
        <w:gridCol w:w="1487"/>
        <w:gridCol w:w="1176"/>
        <w:gridCol w:w="1724"/>
        <w:gridCol w:w="1368"/>
        <w:gridCol w:w="1206"/>
        <w:gridCol w:w="1206"/>
      </w:tblGrid>
      <w:tr w:rsidR="00BC64F9" w:rsidRPr="00F63012" w:rsidTr="00235B6A">
        <w:tc>
          <w:tcPr>
            <w:tcW w:w="1602" w:type="dxa"/>
            <w:tcBorders>
              <w:top w:val="single" w:sz="4" w:space="0" w:color="auto"/>
              <w:left w:val="single" w:sz="4" w:space="0" w:color="auto"/>
              <w:bottom w:val="single" w:sz="4" w:space="0" w:color="auto"/>
              <w:right w:val="single" w:sz="4" w:space="0" w:color="auto"/>
            </w:tcBorders>
            <w:hideMark/>
          </w:tcPr>
          <w:p w:rsidR="00BC64F9" w:rsidRPr="00A6601E" w:rsidRDefault="00BC64F9" w:rsidP="006F0AF9">
            <w:pPr>
              <w:pStyle w:val="TableofFigures"/>
              <w:rPr>
                <w:rFonts w:eastAsia="Cambria"/>
                <w:b/>
              </w:rPr>
            </w:pPr>
            <w:r w:rsidRPr="00A6601E">
              <w:rPr>
                <w:rFonts w:eastAsia="Cambria"/>
                <w:b/>
              </w:rPr>
              <w:t>Location</w:t>
            </w:r>
            <w:r>
              <w:rPr>
                <w:rFonts w:eastAsia="Cambria"/>
                <w:b/>
              </w:rPr>
              <w:t>-based a</w:t>
            </w:r>
            <w:r w:rsidRPr="00A6601E">
              <w:rPr>
                <w:rFonts w:eastAsia="Cambria"/>
                <w:b/>
              </w:rPr>
              <w:t>pproach</w:t>
            </w:r>
          </w:p>
        </w:tc>
        <w:tc>
          <w:tcPr>
            <w:tcW w:w="1487" w:type="dxa"/>
            <w:tcBorders>
              <w:top w:val="single" w:sz="4" w:space="0" w:color="auto"/>
              <w:left w:val="single" w:sz="4" w:space="0" w:color="auto"/>
              <w:bottom w:val="single" w:sz="4" w:space="0" w:color="auto"/>
              <w:right w:val="single" w:sz="4" w:space="0" w:color="auto"/>
            </w:tcBorders>
            <w:hideMark/>
          </w:tcPr>
          <w:p w:rsidR="00BC64F9" w:rsidRPr="00A6601E" w:rsidRDefault="00BC64F9" w:rsidP="006F0AF9">
            <w:pPr>
              <w:pStyle w:val="TableofFigures"/>
              <w:jc w:val="center"/>
              <w:rPr>
                <w:rFonts w:eastAsia="Cambria"/>
                <w:b/>
              </w:rPr>
            </w:pPr>
            <w:r w:rsidRPr="00A6601E">
              <w:rPr>
                <w:rFonts w:eastAsia="Cambria"/>
                <w:b/>
              </w:rPr>
              <w:t>Activity Data</w:t>
            </w:r>
            <w:r w:rsidRPr="00A6601E">
              <w:rPr>
                <w:rFonts w:eastAsia="Cambria"/>
                <w:b/>
              </w:rPr>
              <w:br/>
              <w:t>(kWh)</w:t>
            </w:r>
          </w:p>
        </w:tc>
        <w:tc>
          <w:tcPr>
            <w:tcW w:w="4268" w:type="dxa"/>
            <w:gridSpan w:val="3"/>
            <w:tcBorders>
              <w:top w:val="single" w:sz="4" w:space="0" w:color="auto"/>
              <w:left w:val="single" w:sz="4" w:space="0" w:color="auto"/>
              <w:bottom w:val="single" w:sz="4" w:space="0" w:color="auto"/>
              <w:right w:val="single" w:sz="4" w:space="0" w:color="auto"/>
            </w:tcBorders>
          </w:tcPr>
          <w:p w:rsidR="00BC64F9" w:rsidRPr="00A6601E" w:rsidRDefault="00BC64F9" w:rsidP="006F0AF9">
            <w:pPr>
              <w:pStyle w:val="TableofFigures"/>
              <w:jc w:val="center"/>
              <w:rPr>
                <w:rFonts w:eastAsia="Cambria"/>
                <w:b/>
              </w:rPr>
            </w:pPr>
            <w:r>
              <w:rPr>
                <w:rFonts w:eastAsia="Cambria"/>
                <w:b/>
              </w:rPr>
              <w:t>Under operational control</w:t>
            </w:r>
          </w:p>
        </w:tc>
        <w:tc>
          <w:tcPr>
            <w:tcW w:w="2412" w:type="dxa"/>
            <w:gridSpan w:val="2"/>
            <w:tcBorders>
              <w:top w:val="single" w:sz="4" w:space="0" w:color="auto"/>
              <w:left w:val="single" w:sz="4" w:space="0" w:color="auto"/>
              <w:bottom w:val="single" w:sz="4" w:space="0" w:color="auto"/>
              <w:right w:val="single" w:sz="4" w:space="0" w:color="auto"/>
            </w:tcBorders>
          </w:tcPr>
          <w:p w:rsidR="00BC64F9" w:rsidRPr="00A6601E" w:rsidRDefault="00BC64F9" w:rsidP="006F0AF9">
            <w:pPr>
              <w:pStyle w:val="TableofFigures"/>
              <w:jc w:val="center"/>
              <w:rPr>
                <w:rFonts w:eastAsia="Cambria"/>
                <w:b/>
              </w:rPr>
            </w:pPr>
            <w:r>
              <w:rPr>
                <w:rFonts w:eastAsia="Cambria"/>
                <w:b/>
              </w:rPr>
              <w:t>Not under operational control</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tcPr>
          <w:p w:rsidR="00BC64F9" w:rsidRPr="00A6601E" w:rsidRDefault="00BC64F9" w:rsidP="00C87D88">
            <w:pPr>
              <w:pStyle w:val="TableofFigures"/>
              <w:rPr>
                <w:rFonts w:eastAsia="Cambria"/>
                <w:b/>
              </w:rPr>
            </w:pPr>
            <w:r w:rsidRPr="00BC64F9">
              <w:rPr>
                <w:rFonts w:eastAsia="Cambria"/>
                <w:b/>
              </w:rPr>
              <w:t>Percentage of grid electricity consumption</w:t>
            </w:r>
            <w:r w:rsidR="00C87D88">
              <w:rPr>
                <w:rFonts w:eastAsia="Cambria"/>
                <w:b/>
              </w:rPr>
              <w:t xml:space="preserve"> </w:t>
            </w:r>
            <w:r w:rsidRPr="00BC64F9">
              <w:rPr>
                <w:rFonts w:eastAsia="Cambria"/>
                <w:b/>
              </w:rPr>
              <w:t>under operational control</w:t>
            </w:r>
          </w:p>
        </w:tc>
        <w:tc>
          <w:tcPr>
            <w:tcW w:w="1487" w:type="dxa"/>
            <w:tcBorders>
              <w:top w:val="single" w:sz="4" w:space="0" w:color="auto"/>
              <w:left w:val="single" w:sz="4" w:space="0" w:color="auto"/>
              <w:bottom w:val="single" w:sz="4" w:space="0" w:color="auto"/>
              <w:right w:val="single" w:sz="4" w:space="0" w:color="auto"/>
            </w:tcBorders>
          </w:tcPr>
          <w:p w:rsidR="00BC64F9" w:rsidRPr="00A6601E" w:rsidRDefault="00BC64F9" w:rsidP="006F0AF9">
            <w:pPr>
              <w:pStyle w:val="TableofFigures"/>
              <w:jc w:val="center"/>
              <w:rPr>
                <w:rFonts w:eastAsia="Cambria"/>
                <w:b/>
              </w:rPr>
            </w:pPr>
            <w:r>
              <w:rPr>
                <w:rFonts w:eastAsia="Cambria"/>
                <w:b/>
              </w:rPr>
              <w:t>100%</w:t>
            </w:r>
          </w:p>
        </w:tc>
        <w:tc>
          <w:tcPr>
            <w:tcW w:w="1176" w:type="dxa"/>
            <w:tcBorders>
              <w:top w:val="single" w:sz="4" w:space="0" w:color="auto"/>
              <w:left w:val="single" w:sz="4" w:space="0" w:color="auto"/>
              <w:bottom w:val="single" w:sz="4" w:space="0" w:color="auto"/>
              <w:right w:val="single" w:sz="4" w:space="0" w:color="auto"/>
            </w:tcBorders>
          </w:tcPr>
          <w:p w:rsidR="00BC64F9" w:rsidRPr="00A6601E" w:rsidRDefault="00BC64F9" w:rsidP="006F0AF9">
            <w:pPr>
              <w:pStyle w:val="TableofFigures"/>
              <w:jc w:val="center"/>
              <w:rPr>
                <w:rFonts w:eastAsia="Cambria"/>
                <w:b/>
              </w:rPr>
            </w:pPr>
            <w:r>
              <w:rPr>
                <w:rFonts w:eastAsia="Cambria"/>
                <w:b/>
              </w:rPr>
              <w:t>(kWh)</w:t>
            </w:r>
          </w:p>
        </w:tc>
        <w:tc>
          <w:tcPr>
            <w:tcW w:w="1724" w:type="dxa"/>
            <w:tcBorders>
              <w:top w:val="single" w:sz="4" w:space="0" w:color="auto"/>
              <w:left w:val="single" w:sz="4" w:space="0" w:color="auto"/>
              <w:bottom w:val="single" w:sz="4" w:space="0" w:color="auto"/>
              <w:right w:val="single" w:sz="4" w:space="0" w:color="auto"/>
            </w:tcBorders>
          </w:tcPr>
          <w:p w:rsidR="00BC64F9" w:rsidRPr="00A6601E" w:rsidRDefault="00BC64F9" w:rsidP="00C87D88">
            <w:pPr>
              <w:pStyle w:val="TableofFigures"/>
              <w:jc w:val="center"/>
              <w:rPr>
                <w:rFonts w:eastAsia="Cambria"/>
                <w:b/>
              </w:rPr>
            </w:pPr>
            <w:r w:rsidRPr="00A6601E">
              <w:rPr>
                <w:rFonts w:eastAsia="Cambria"/>
                <w:b/>
              </w:rPr>
              <w:t>Scope 2 Emissions</w:t>
            </w:r>
            <w:r w:rsidR="00C87D88">
              <w:rPr>
                <w:rFonts w:eastAsia="Cambria"/>
                <w:b/>
              </w:rPr>
              <w:t xml:space="preserve"> </w:t>
            </w:r>
            <w:r w:rsidRPr="00A6601E">
              <w:rPr>
                <w:rFonts w:eastAsia="Cambria"/>
                <w:b/>
              </w:rPr>
              <w:t>(kgCO2e)</w:t>
            </w:r>
          </w:p>
        </w:tc>
        <w:tc>
          <w:tcPr>
            <w:tcW w:w="1368" w:type="dxa"/>
            <w:tcBorders>
              <w:top w:val="single" w:sz="4" w:space="0" w:color="auto"/>
              <w:left w:val="single" w:sz="4" w:space="0" w:color="auto"/>
              <w:bottom w:val="single" w:sz="4" w:space="0" w:color="auto"/>
              <w:right w:val="single" w:sz="4" w:space="0" w:color="auto"/>
            </w:tcBorders>
          </w:tcPr>
          <w:p w:rsidR="00BC64F9" w:rsidRPr="00A6601E" w:rsidRDefault="00BC64F9" w:rsidP="00C87D88">
            <w:pPr>
              <w:pStyle w:val="TableofFigures"/>
              <w:jc w:val="center"/>
              <w:rPr>
                <w:rFonts w:eastAsia="Cambria"/>
                <w:b/>
              </w:rPr>
            </w:pPr>
            <w:r w:rsidRPr="00A6601E">
              <w:rPr>
                <w:rFonts w:eastAsia="Cambria"/>
                <w:b/>
              </w:rPr>
              <w:t>Scope 3 Emissions</w:t>
            </w:r>
            <w:r w:rsidR="00C87D88">
              <w:rPr>
                <w:rFonts w:eastAsia="Cambria"/>
                <w:b/>
              </w:rPr>
              <w:t xml:space="preserve"> </w:t>
            </w:r>
            <w:r w:rsidRPr="00A6601E">
              <w:rPr>
                <w:rFonts w:eastAsia="Cambria"/>
                <w:b/>
              </w:rPr>
              <w:t>(kgCO2e)</w:t>
            </w:r>
          </w:p>
        </w:tc>
        <w:tc>
          <w:tcPr>
            <w:tcW w:w="1206" w:type="dxa"/>
            <w:tcBorders>
              <w:top w:val="single" w:sz="4" w:space="0" w:color="auto"/>
              <w:left w:val="single" w:sz="4" w:space="0" w:color="auto"/>
              <w:bottom w:val="single" w:sz="4" w:space="0" w:color="auto"/>
              <w:right w:val="single" w:sz="4" w:space="0" w:color="auto"/>
            </w:tcBorders>
          </w:tcPr>
          <w:p w:rsidR="00BC64F9" w:rsidRPr="00A6601E" w:rsidRDefault="00BC64F9" w:rsidP="006F0AF9">
            <w:pPr>
              <w:pStyle w:val="TableofFigures"/>
              <w:jc w:val="center"/>
              <w:rPr>
                <w:rFonts w:eastAsia="Cambria"/>
                <w:b/>
              </w:rPr>
            </w:pPr>
            <w:r>
              <w:rPr>
                <w:rFonts w:eastAsia="Cambria"/>
                <w:b/>
              </w:rPr>
              <w:t>(kWh)</w:t>
            </w:r>
          </w:p>
        </w:tc>
        <w:tc>
          <w:tcPr>
            <w:tcW w:w="1206" w:type="dxa"/>
            <w:tcBorders>
              <w:top w:val="single" w:sz="4" w:space="0" w:color="auto"/>
              <w:left w:val="single" w:sz="4" w:space="0" w:color="auto"/>
              <w:bottom w:val="single" w:sz="4" w:space="0" w:color="auto"/>
              <w:right w:val="single" w:sz="4" w:space="0" w:color="auto"/>
            </w:tcBorders>
          </w:tcPr>
          <w:p w:rsidR="00BC64F9" w:rsidRPr="00A6601E" w:rsidRDefault="00BC64F9" w:rsidP="006F0AF9">
            <w:pPr>
              <w:pStyle w:val="TableofFigures"/>
              <w:jc w:val="center"/>
              <w:rPr>
                <w:rFonts w:eastAsia="Cambria"/>
                <w:b/>
              </w:rPr>
            </w:pPr>
            <w:r w:rsidRPr="00A6601E">
              <w:rPr>
                <w:rFonts w:eastAsia="Cambria"/>
                <w:b/>
              </w:rPr>
              <w:t>Scope 3 Emissions</w:t>
            </w:r>
            <w:r w:rsidRPr="00A6601E">
              <w:rPr>
                <w:rFonts w:eastAsia="Cambria"/>
                <w:b/>
              </w:rPr>
              <w:br/>
              <w:t>(kgCO2e)</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ACT</w:t>
            </w:r>
          </w:p>
        </w:tc>
        <w:tc>
          <w:tcPr>
            <w:tcW w:w="1487"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1,650</w:t>
            </w:r>
          </w:p>
        </w:tc>
        <w:tc>
          <w:tcPr>
            <w:tcW w:w="117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sidRPr="00BC64F9">
              <w:rPr>
                <w:rFonts w:eastAsia="Cambria"/>
              </w:rPr>
              <w:t>1,650</w:t>
            </w:r>
          </w:p>
        </w:tc>
        <w:tc>
          <w:tcPr>
            <w:tcW w:w="1724"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1,204</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99</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0</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NSW</w:t>
            </w:r>
          </w:p>
        </w:tc>
        <w:tc>
          <w:tcPr>
            <w:tcW w:w="1487"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46,600</w:t>
            </w:r>
          </w:p>
        </w:tc>
        <w:tc>
          <w:tcPr>
            <w:tcW w:w="117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sidRPr="00BC64F9">
              <w:rPr>
                <w:rFonts w:eastAsia="Cambria"/>
              </w:rPr>
              <w:t>46,600</w:t>
            </w:r>
          </w:p>
        </w:tc>
        <w:tc>
          <w:tcPr>
            <w:tcW w:w="1724"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34,018</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2,796</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0</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SA</w:t>
            </w:r>
          </w:p>
        </w:tc>
        <w:tc>
          <w:tcPr>
            <w:tcW w:w="1487"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17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724"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Vic</w:t>
            </w:r>
          </w:p>
        </w:tc>
        <w:tc>
          <w:tcPr>
            <w:tcW w:w="1487"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17,277,256</w:t>
            </w:r>
          </w:p>
        </w:tc>
        <w:tc>
          <w:tcPr>
            <w:tcW w:w="117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sidRPr="00BC64F9">
              <w:rPr>
                <w:rFonts w:eastAsia="Cambria"/>
              </w:rPr>
              <w:t>17,277,256</w:t>
            </w:r>
          </w:p>
        </w:tc>
        <w:tc>
          <w:tcPr>
            <w:tcW w:w="1724"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14,685,668</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1,209,408</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0</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Qld</w:t>
            </w:r>
          </w:p>
        </w:tc>
        <w:tc>
          <w:tcPr>
            <w:tcW w:w="1487"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12,925</w:t>
            </w:r>
          </w:p>
        </w:tc>
        <w:tc>
          <w:tcPr>
            <w:tcW w:w="117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sidRPr="00BC64F9">
              <w:rPr>
                <w:rFonts w:eastAsia="Cambria"/>
              </w:rPr>
              <w:t>12,925</w:t>
            </w:r>
          </w:p>
        </w:tc>
        <w:tc>
          <w:tcPr>
            <w:tcW w:w="1724"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9,435</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1,939</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0</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NT</w:t>
            </w:r>
          </w:p>
        </w:tc>
        <w:tc>
          <w:tcPr>
            <w:tcW w:w="1487"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17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724"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WA</w:t>
            </w:r>
          </w:p>
        </w:tc>
        <w:tc>
          <w:tcPr>
            <w:tcW w:w="1487"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17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724"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Tas</w:t>
            </w:r>
          </w:p>
        </w:tc>
        <w:tc>
          <w:tcPr>
            <w:tcW w:w="1487"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3,857</w:t>
            </w:r>
          </w:p>
        </w:tc>
        <w:tc>
          <w:tcPr>
            <w:tcW w:w="117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sidRPr="00BC64F9">
              <w:rPr>
                <w:rFonts w:eastAsia="Cambria"/>
              </w:rPr>
              <w:t>3,857</w:t>
            </w:r>
          </w:p>
        </w:tc>
        <w:tc>
          <w:tcPr>
            <w:tcW w:w="1724"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656</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39</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0</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237642" w:rsidRDefault="00BC64F9" w:rsidP="006F0AF9">
            <w:pPr>
              <w:pStyle w:val="TableofFigures"/>
              <w:rPr>
                <w:rFonts w:eastAsia="Cambria"/>
                <w:b/>
              </w:rPr>
            </w:pPr>
            <w:r w:rsidRPr="00237642">
              <w:rPr>
                <w:rFonts w:eastAsia="Cambria"/>
                <w:b/>
              </w:rPr>
              <w:t>Grid electricity (scope 2 and 3)</w:t>
            </w:r>
          </w:p>
        </w:tc>
        <w:tc>
          <w:tcPr>
            <w:tcW w:w="1487" w:type="dxa"/>
            <w:tcBorders>
              <w:top w:val="single" w:sz="4" w:space="0" w:color="auto"/>
              <w:left w:val="single" w:sz="4" w:space="0" w:color="auto"/>
              <w:bottom w:val="single" w:sz="4" w:space="0" w:color="auto"/>
              <w:right w:val="single" w:sz="4" w:space="0" w:color="auto"/>
            </w:tcBorders>
            <w:hideMark/>
          </w:tcPr>
          <w:p w:rsidR="00BC64F9" w:rsidRPr="00237642" w:rsidRDefault="00BC64F9" w:rsidP="00BC64F9">
            <w:pPr>
              <w:pStyle w:val="TableofFigures"/>
              <w:jc w:val="right"/>
              <w:rPr>
                <w:rFonts w:eastAsia="Cambria"/>
                <w:b/>
              </w:rPr>
            </w:pPr>
            <w:r w:rsidRPr="00BC64F9">
              <w:rPr>
                <w:rFonts w:eastAsia="Cambria"/>
                <w:b/>
              </w:rPr>
              <w:t>17,342,289</w:t>
            </w:r>
          </w:p>
        </w:tc>
        <w:tc>
          <w:tcPr>
            <w:tcW w:w="1176" w:type="dxa"/>
            <w:tcBorders>
              <w:top w:val="single" w:sz="4" w:space="0" w:color="auto"/>
              <w:left w:val="single" w:sz="4" w:space="0" w:color="auto"/>
              <w:bottom w:val="single" w:sz="4" w:space="0" w:color="auto"/>
              <w:right w:val="single" w:sz="4" w:space="0" w:color="auto"/>
            </w:tcBorders>
          </w:tcPr>
          <w:p w:rsidR="00BC64F9" w:rsidRPr="00237642" w:rsidRDefault="00BC64F9" w:rsidP="00BC64F9">
            <w:pPr>
              <w:pStyle w:val="TableofFigures"/>
              <w:jc w:val="right"/>
              <w:rPr>
                <w:rFonts w:eastAsia="Cambria"/>
                <w:b/>
              </w:rPr>
            </w:pPr>
            <w:r w:rsidRPr="00BC64F9">
              <w:rPr>
                <w:rFonts w:eastAsia="Cambria"/>
                <w:b/>
              </w:rPr>
              <w:t>17,342,289</w:t>
            </w:r>
          </w:p>
        </w:tc>
        <w:tc>
          <w:tcPr>
            <w:tcW w:w="1724" w:type="dxa"/>
            <w:tcBorders>
              <w:top w:val="single" w:sz="4" w:space="0" w:color="auto"/>
              <w:left w:val="single" w:sz="4" w:space="0" w:color="auto"/>
              <w:bottom w:val="single" w:sz="4" w:space="0" w:color="auto"/>
              <w:right w:val="single" w:sz="4" w:space="0" w:color="auto"/>
            </w:tcBorders>
            <w:hideMark/>
          </w:tcPr>
          <w:p w:rsidR="00BC64F9" w:rsidRPr="00237642" w:rsidRDefault="00BC64F9" w:rsidP="00BC64F9">
            <w:pPr>
              <w:pStyle w:val="TableofFigures"/>
              <w:jc w:val="right"/>
              <w:rPr>
                <w:rFonts w:eastAsia="Cambria"/>
                <w:b/>
              </w:rPr>
            </w:pPr>
            <w:r w:rsidRPr="00BC64F9">
              <w:rPr>
                <w:rFonts w:eastAsia="Cambria"/>
                <w:b/>
              </w:rPr>
              <w:t>14,730,981</w:t>
            </w:r>
          </w:p>
        </w:tc>
        <w:tc>
          <w:tcPr>
            <w:tcW w:w="1368" w:type="dxa"/>
            <w:tcBorders>
              <w:top w:val="single" w:sz="4" w:space="0" w:color="auto"/>
              <w:left w:val="single" w:sz="4" w:space="0" w:color="auto"/>
              <w:bottom w:val="single" w:sz="4" w:space="0" w:color="auto"/>
              <w:right w:val="single" w:sz="4" w:space="0" w:color="auto"/>
            </w:tcBorders>
          </w:tcPr>
          <w:p w:rsidR="00BC64F9" w:rsidRPr="00237642" w:rsidRDefault="00BC64F9" w:rsidP="00BC64F9">
            <w:pPr>
              <w:pStyle w:val="TableofFigures"/>
              <w:jc w:val="right"/>
              <w:rPr>
                <w:rFonts w:eastAsia="Cambria"/>
                <w:b/>
              </w:rPr>
            </w:pPr>
            <w:r w:rsidRPr="00BC64F9">
              <w:rPr>
                <w:rFonts w:eastAsia="Cambria"/>
                <w:b/>
              </w:rPr>
              <w:t>1,214,280</w:t>
            </w:r>
          </w:p>
        </w:tc>
        <w:tc>
          <w:tcPr>
            <w:tcW w:w="1206" w:type="dxa"/>
            <w:tcBorders>
              <w:top w:val="single" w:sz="4" w:space="0" w:color="auto"/>
              <w:left w:val="single" w:sz="4" w:space="0" w:color="auto"/>
              <w:bottom w:val="single" w:sz="4" w:space="0" w:color="auto"/>
              <w:right w:val="single" w:sz="4" w:space="0" w:color="auto"/>
            </w:tcBorders>
          </w:tcPr>
          <w:p w:rsidR="00BC64F9" w:rsidRPr="00237642" w:rsidRDefault="00BC64F9" w:rsidP="00BC64F9">
            <w:pPr>
              <w:pStyle w:val="TableofFigures"/>
              <w:jc w:val="right"/>
              <w:rPr>
                <w:rFonts w:eastAsia="Cambria"/>
                <w:b/>
              </w:rPr>
            </w:pPr>
            <w:r>
              <w:rPr>
                <w:rFonts w:eastAsia="Cambria"/>
                <w:b/>
              </w:rPr>
              <w:t>0</w:t>
            </w:r>
          </w:p>
        </w:tc>
        <w:tc>
          <w:tcPr>
            <w:tcW w:w="1206" w:type="dxa"/>
            <w:tcBorders>
              <w:top w:val="single" w:sz="4" w:space="0" w:color="auto"/>
              <w:left w:val="single" w:sz="4" w:space="0" w:color="auto"/>
              <w:bottom w:val="single" w:sz="4" w:space="0" w:color="auto"/>
              <w:right w:val="single" w:sz="4" w:space="0" w:color="auto"/>
            </w:tcBorders>
          </w:tcPr>
          <w:p w:rsidR="00BC64F9" w:rsidRPr="00237642" w:rsidRDefault="00BC64F9" w:rsidP="00BC64F9">
            <w:pPr>
              <w:pStyle w:val="TableofFigures"/>
              <w:jc w:val="right"/>
              <w:rPr>
                <w:rFonts w:eastAsia="Cambria"/>
                <w:b/>
              </w:rPr>
            </w:pPr>
            <w:r>
              <w:rPr>
                <w:rFonts w:eastAsia="Cambria"/>
                <w:b/>
              </w:rPr>
              <w:t>0</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lastRenderedPageBreak/>
              <w:t>ACT</w:t>
            </w:r>
          </w:p>
        </w:tc>
        <w:tc>
          <w:tcPr>
            <w:tcW w:w="1487"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17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724"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NSW</w:t>
            </w:r>
          </w:p>
        </w:tc>
        <w:tc>
          <w:tcPr>
            <w:tcW w:w="1487"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17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724"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SA</w:t>
            </w:r>
          </w:p>
        </w:tc>
        <w:tc>
          <w:tcPr>
            <w:tcW w:w="1487"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17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724"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Vic</w:t>
            </w:r>
          </w:p>
        </w:tc>
        <w:tc>
          <w:tcPr>
            <w:tcW w:w="1487"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BC64F9">
              <w:rPr>
                <w:rFonts w:eastAsia="Cambria"/>
              </w:rPr>
              <w:t>402,481</w:t>
            </w:r>
          </w:p>
        </w:tc>
        <w:tc>
          <w:tcPr>
            <w:tcW w:w="117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sidRPr="00BC64F9">
              <w:rPr>
                <w:rFonts w:eastAsia="Cambria"/>
              </w:rPr>
              <w:t>402,481</w:t>
            </w:r>
          </w:p>
        </w:tc>
        <w:tc>
          <w:tcPr>
            <w:tcW w:w="1724"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Qld</w:t>
            </w:r>
          </w:p>
        </w:tc>
        <w:tc>
          <w:tcPr>
            <w:tcW w:w="1487"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17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724"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NT</w:t>
            </w:r>
          </w:p>
        </w:tc>
        <w:tc>
          <w:tcPr>
            <w:tcW w:w="1487"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17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724"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WA</w:t>
            </w:r>
          </w:p>
        </w:tc>
        <w:tc>
          <w:tcPr>
            <w:tcW w:w="1487"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17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724"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F63012" w:rsidRDefault="00BC64F9" w:rsidP="006F0AF9">
            <w:pPr>
              <w:pStyle w:val="TableofFigures"/>
              <w:rPr>
                <w:rFonts w:eastAsia="Cambria"/>
              </w:rPr>
            </w:pPr>
            <w:r w:rsidRPr="00F63012">
              <w:rPr>
                <w:rFonts w:eastAsia="Cambria"/>
              </w:rPr>
              <w:t>Tas</w:t>
            </w:r>
          </w:p>
        </w:tc>
        <w:tc>
          <w:tcPr>
            <w:tcW w:w="1487"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176"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724" w:type="dxa"/>
            <w:tcBorders>
              <w:top w:val="single" w:sz="4" w:space="0" w:color="auto"/>
              <w:left w:val="single" w:sz="4" w:space="0" w:color="auto"/>
              <w:bottom w:val="single" w:sz="4" w:space="0" w:color="auto"/>
              <w:right w:val="single" w:sz="4" w:space="0" w:color="auto"/>
            </w:tcBorders>
            <w:hideMark/>
          </w:tcPr>
          <w:p w:rsidR="00BC64F9" w:rsidRPr="00F63012" w:rsidRDefault="00BC64F9" w:rsidP="00BC64F9">
            <w:pPr>
              <w:pStyle w:val="TableofFigures"/>
              <w:jc w:val="right"/>
              <w:rPr>
                <w:rFonts w:eastAsia="Cambria"/>
              </w:rPr>
            </w:pPr>
            <w:r w:rsidRPr="00F63012">
              <w:rPr>
                <w:rFonts w:eastAsia="Cambria"/>
              </w:rPr>
              <w:t>0</w:t>
            </w:r>
          </w:p>
        </w:tc>
        <w:tc>
          <w:tcPr>
            <w:tcW w:w="1368" w:type="dxa"/>
            <w:tcBorders>
              <w:top w:val="single" w:sz="4" w:space="0" w:color="auto"/>
              <w:left w:val="single" w:sz="4" w:space="0" w:color="auto"/>
              <w:bottom w:val="single" w:sz="4" w:space="0" w:color="auto"/>
              <w:right w:val="single" w:sz="4" w:space="0" w:color="auto"/>
            </w:tcBorders>
          </w:tcPr>
          <w:p w:rsidR="00BC64F9" w:rsidRPr="00F63012" w:rsidRDefault="00BC64F9" w:rsidP="00BC64F9">
            <w:pPr>
              <w:pStyle w:val="TableofFigures"/>
              <w:jc w:val="right"/>
              <w:rPr>
                <w:rFonts w:eastAsia="Cambria"/>
              </w:rPr>
            </w:pPr>
            <w:r>
              <w:rPr>
                <w:rFonts w:eastAsia="Cambria"/>
              </w:rPr>
              <w:t>0</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c>
          <w:tcPr>
            <w:tcW w:w="1206" w:type="dxa"/>
            <w:tcBorders>
              <w:top w:val="single" w:sz="4" w:space="0" w:color="auto"/>
              <w:left w:val="single" w:sz="4" w:space="0" w:color="auto"/>
              <w:bottom w:val="single" w:sz="4" w:space="0" w:color="auto"/>
              <w:right w:val="single" w:sz="4" w:space="0" w:color="auto"/>
            </w:tcBorders>
          </w:tcPr>
          <w:p w:rsidR="00BC64F9" w:rsidRDefault="00BC64F9" w:rsidP="00BC64F9">
            <w:pPr>
              <w:pStyle w:val="TableofFigures"/>
              <w:jc w:val="right"/>
              <w:rPr>
                <w:rFonts w:eastAsia="Cambria"/>
              </w:rPr>
            </w:pPr>
            <w:r>
              <w:rPr>
                <w:rFonts w:eastAsia="Cambria"/>
              </w:rPr>
              <w:t>N/A</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237642" w:rsidRDefault="00BC64F9" w:rsidP="006F0AF9">
            <w:pPr>
              <w:pStyle w:val="TableofFigures"/>
              <w:rPr>
                <w:rFonts w:eastAsia="Cambria"/>
                <w:b/>
              </w:rPr>
            </w:pPr>
            <w:r w:rsidRPr="00237642">
              <w:rPr>
                <w:rFonts w:eastAsia="Cambria"/>
                <w:b/>
              </w:rPr>
              <w:t>Non-grid electricity (Behind the meter)</w:t>
            </w:r>
          </w:p>
        </w:tc>
        <w:tc>
          <w:tcPr>
            <w:tcW w:w="1487" w:type="dxa"/>
            <w:tcBorders>
              <w:top w:val="single" w:sz="4" w:space="0" w:color="auto"/>
              <w:left w:val="single" w:sz="4" w:space="0" w:color="auto"/>
              <w:bottom w:val="single" w:sz="4" w:space="0" w:color="auto"/>
              <w:right w:val="single" w:sz="4" w:space="0" w:color="auto"/>
            </w:tcBorders>
            <w:hideMark/>
          </w:tcPr>
          <w:p w:rsidR="00BC64F9" w:rsidRPr="00237642" w:rsidRDefault="00BC64F9" w:rsidP="00BC64F9">
            <w:pPr>
              <w:pStyle w:val="TableofFigures"/>
              <w:jc w:val="right"/>
              <w:rPr>
                <w:rFonts w:eastAsia="Cambria"/>
                <w:b/>
              </w:rPr>
            </w:pPr>
            <w:r w:rsidRPr="00BC64F9">
              <w:rPr>
                <w:rFonts w:eastAsia="Cambria"/>
                <w:b/>
              </w:rPr>
              <w:t>402,481</w:t>
            </w:r>
          </w:p>
        </w:tc>
        <w:tc>
          <w:tcPr>
            <w:tcW w:w="1176" w:type="dxa"/>
            <w:tcBorders>
              <w:top w:val="single" w:sz="4" w:space="0" w:color="auto"/>
              <w:left w:val="single" w:sz="4" w:space="0" w:color="auto"/>
              <w:bottom w:val="single" w:sz="4" w:space="0" w:color="auto"/>
              <w:right w:val="single" w:sz="4" w:space="0" w:color="auto"/>
            </w:tcBorders>
          </w:tcPr>
          <w:p w:rsidR="00BC64F9" w:rsidRPr="00237642" w:rsidRDefault="00BC64F9" w:rsidP="00BC64F9">
            <w:pPr>
              <w:pStyle w:val="TableofFigures"/>
              <w:jc w:val="right"/>
              <w:rPr>
                <w:rFonts w:eastAsia="Cambria"/>
                <w:b/>
              </w:rPr>
            </w:pPr>
            <w:r w:rsidRPr="00BC64F9">
              <w:rPr>
                <w:rFonts w:eastAsia="Cambria"/>
                <w:b/>
              </w:rPr>
              <w:t>402,481</w:t>
            </w:r>
          </w:p>
        </w:tc>
        <w:tc>
          <w:tcPr>
            <w:tcW w:w="1724" w:type="dxa"/>
            <w:tcBorders>
              <w:top w:val="single" w:sz="4" w:space="0" w:color="auto"/>
              <w:left w:val="single" w:sz="4" w:space="0" w:color="auto"/>
              <w:bottom w:val="single" w:sz="4" w:space="0" w:color="auto"/>
              <w:right w:val="single" w:sz="4" w:space="0" w:color="auto"/>
            </w:tcBorders>
            <w:hideMark/>
          </w:tcPr>
          <w:p w:rsidR="00BC64F9" w:rsidRPr="00237642" w:rsidRDefault="00BC64F9" w:rsidP="00BC64F9">
            <w:pPr>
              <w:pStyle w:val="TableofFigures"/>
              <w:jc w:val="right"/>
              <w:rPr>
                <w:rFonts w:eastAsia="Cambria"/>
                <w:b/>
              </w:rPr>
            </w:pPr>
            <w:r w:rsidRPr="00237642">
              <w:rPr>
                <w:rFonts w:eastAsia="Cambria"/>
                <w:b/>
              </w:rPr>
              <w:t>0</w:t>
            </w:r>
          </w:p>
        </w:tc>
        <w:tc>
          <w:tcPr>
            <w:tcW w:w="1368" w:type="dxa"/>
            <w:tcBorders>
              <w:top w:val="single" w:sz="4" w:space="0" w:color="auto"/>
              <w:left w:val="single" w:sz="4" w:space="0" w:color="auto"/>
              <w:bottom w:val="single" w:sz="4" w:space="0" w:color="auto"/>
              <w:right w:val="single" w:sz="4" w:space="0" w:color="auto"/>
            </w:tcBorders>
          </w:tcPr>
          <w:p w:rsidR="00BC64F9" w:rsidRPr="00237642" w:rsidRDefault="00BC64F9" w:rsidP="00BC64F9">
            <w:pPr>
              <w:pStyle w:val="TableofFigures"/>
              <w:jc w:val="right"/>
              <w:rPr>
                <w:rFonts w:eastAsia="Cambria"/>
                <w:b/>
              </w:rPr>
            </w:pPr>
            <w:r w:rsidRPr="00237642">
              <w:rPr>
                <w:rFonts w:eastAsia="Cambria"/>
                <w:b/>
              </w:rPr>
              <w:t>0</w:t>
            </w:r>
          </w:p>
        </w:tc>
        <w:tc>
          <w:tcPr>
            <w:tcW w:w="1206" w:type="dxa"/>
            <w:tcBorders>
              <w:top w:val="single" w:sz="4" w:space="0" w:color="auto"/>
              <w:left w:val="single" w:sz="4" w:space="0" w:color="auto"/>
              <w:bottom w:val="single" w:sz="4" w:space="0" w:color="auto"/>
              <w:right w:val="single" w:sz="4" w:space="0" w:color="auto"/>
            </w:tcBorders>
          </w:tcPr>
          <w:p w:rsidR="00BC64F9" w:rsidRPr="00237642" w:rsidRDefault="00BC64F9" w:rsidP="00BC64F9">
            <w:pPr>
              <w:pStyle w:val="TableofFigures"/>
              <w:jc w:val="right"/>
              <w:rPr>
                <w:rFonts w:eastAsia="Cambria"/>
                <w:b/>
              </w:rPr>
            </w:pPr>
            <w:r>
              <w:rPr>
                <w:rFonts w:eastAsia="Cambria"/>
              </w:rPr>
              <w:t>N/A</w:t>
            </w:r>
          </w:p>
        </w:tc>
        <w:tc>
          <w:tcPr>
            <w:tcW w:w="1206" w:type="dxa"/>
            <w:tcBorders>
              <w:top w:val="single" w:sz="4" w:space="0" w:color="auto"/>
              <w:left w:val="single" w:sz="4" w:space="0" w:color="auto"/>
              <w:bottom w:val="single" w:sz="4" w:space="0" w:color="auto"/>
              <w:right w:val="single" w:sz="4" w:space="0" w:color="auto"/>
            </w:tcBorders>
          </w:tcPr>
          <w:p w:rsidR="00BC64F9" w:rsidRPr="00237642" w:rsidRDefault="00BC64F9" w:rsidP="00BC64F9">
            <w:pPr>
              <w:pStyle w:val="TableofFigures"/>
              <w:jc w:val="right"/>
              <w:rPr>
                <w:rFonts w:eastAsia="Cambria"/>
                <w:b/>
              </w:rPr>
            </w:pPr>
            <w:r>
              <w:rPr>
                <w:rFonts w:eastAsia="Cambria"/>
              </w:rPr>
              <w:t>N/A</w:t>
            </w:r>
          </w:p>
        </w:tc>
      </w:tr>
      <w:tr w:rsidR="00BC64F9" w:rsidRPr="00F63012" w:rsidTr="00BC64F9">
        <w:tc>
          <w:tcPr>
            <w:tcW w:w="1602" w:type="dxa"/>
            <w:tcBorders>
              <w:top w:val="single" w:sz="4" w:space="0" w:color="auto"/>
              <w:left w:val="single" w:sz="4" w:space="0" w:color="auto"/>
              <w:bottom w:val="single" w:sz="4" w:space="0" w:color="auto"/>
              <w:right w:val="single" w:sz="4" w:space="0" w:color="auto"/>
            </w:tcBorders>
            <w:hideMark/>
          </w:tcPr>
          <w:p w:rsidR="00BC64F9" w:rsidRPr="00237642" w:rsidRDefault="00BC64F9" w:rsidP="006F0AF9">
            <w:pPr>
              <w:pStyle w:val="TableofFigures"/>
              <w:rPr>
                <w:rFonts w:eastAsia="Cambria"/>
                <w:b/>
              </w:rPr>
            </w:pPr>
            <w:r>
              <w:rPr>
                <w:rFonts w:eastAsia="Cambria"/>
                <w:b/>
              </w:rPr>
              <w:t>Total e</w:t>
            </w:r>
            <w:r w:rsidRPr="00237642">
              <w:rPr>
                <w:rFonts w:eastAsia="Cambria"/>
                <w:b/>
              </w:rPr>
              <w:t xml:space="preserve">lectricity </w:t>
            </w:r>
            <w:r>
              <w:rPr>
                <w:rFonts w:eastAsia="Cambria"/>
                <w:b/>
              </w:rPr>
              <w:t>c</w:t>
            </w:r>
            <w:r w:rsidRPr="00237642">
              <w:rPr>
                <w:rFonts w:eastAsia="Cambria"/>
                <w:b/>
              </w:rPr>
              <w:t>onsumed</w:t>
            </w:r>
          </w:p>
        </w:tc>
        <w:tc>
          <w:tcPr>
            <w:tcW w:w="1487" w:type="dxa"/>
            <w:tcBorders>
              <w:top w:val="single" w:sz="4" w:space="0" w:color="auto"/>
              <w:left w:val="single" w:sz="4" w:space="0" w:color="auto"/>
              <w:bottom w:val="single" w:sz="4" w:space="0" w:color="auto"/>
              <w:right w:val="single" w:sz="4" w:space="0" w:color="auto"/>
            </w:tcBorders>
            <w:hideMark/>
          </w:tcPr>
          <w:p w:rsidR="00BC64F9" w:rsidRPr="00237642" w:rsidRDefault="00BC64F9" w:rsidP="00BC64F9">
            <w:pPr>
              <w:pStyle w:val="TableofFigures"/>
              <w:jc w:val="right"/>
              <w:rPr>
                <w:rFonts w:eastAsia="Cambria"/>
                <w:b/>
              </w:rPr>
            </w:pPr>
            <w:r w:rsidRPr="00BC64F9">
              <w:rPr>
                <w:rFonts w:eastAsia="Cambria"/>
                <w:b/>
              </w:rPr>
              <w:t>17,744,770</w:t>
            </w:r>
          </w:p>
        </w:tc>
        <w:tc>
          <w:tcPr>
            <w:tcW w:w="1176" w:type="dxa"/>
            <w:tcBorders>
              <w:top w:val="single" w:sz="4" w:space="0" w:color="auto"/>
              <w:left w:val="single" w:sz="4" w:space="0" w:color="auto"/>
              <w:bottom w:val="single" w:sz="4" w:space="0" w:color="auto"/>
              <w:right w:val="single" w:sz="4" w:space="0" w:color="auto"/>
            </w:tcBorders>
          </w:tcPr>
          <w:p w:rsidR="00BC64F9" w:rsidRPr="00237642" w:rsidRDefault="00BC64F9" w:rsidP="00BC64F9">
            <w:pPr>
              <w:pStyle w:val="TableofFigures"/>
              <w:jc w:val="right"/>
              <w:rPr>
                <w:rFonts w:eastAsia="Cambria"/>
                <w:b/>
              </w:rPr>
            </w:pPr>
            <w:r>
              <w:rPr>
                <w:rFonts w:eastAsia="Cambria"/>
              </w:rPr>
              <w:t>N/A</w:t>
            </w:r>
          </w:p>
        </w:tc>
        <w:tc>
          <w:tcPr>
            <w:tcW w:w="1724" w:type="dxa"/>
            <w:tcBorders>
              <w:top w:val="single" w:sz="4" w:space="0" w:color="auto"/>
              <w:left w:val="single" w:sz="4" w:space="0" w:color="auto"/>
              <w:bottom w:val="single" w:sz="4" w:space="0" w:color="auto"/>
              <w:right w:val="single" w:sz="4" w:space="0" w:color="auto"/>
            </w:tcBorders>
            <w:hideMark/>
          </w:tcPr>
          <w:p w:rsidR="00BC64F9" w:rsidRPr="00237642" w:rsidRDefault="00BC64F9" w:rsidP="00BC64F9">
            <w:pPr>
              <w:pStyle w:val="TableofFigures"/>
              <w:jc w:val="right"/>
              <w:rPr>
                <w:rFonts w:eastAsia="Cambria"/>
                <w:b/>
              </w:rPr>
            </w:pPr>
            <w:r>
              <w:rPr>
                <w:rFonts w:eastAsia="Cambria"/>
              </w:rPr>
              <w:t>N/A</w:t>
            </w:r>
          </w:p>
        </w:tc>
        <w:tc>
          <w:tcPr>
            <w:tcW w:w="1368" w:type="dxa"/>
            <w:tcBorders>
              <w:top w:val="single" w:sz="4" w:space="0" w:color="auto"/>
              <w:left w:val="single" w:sz="4" w:space="0" w:color="auto"/>
              <w:bottom w:val="single" w:sz="4" w:space="0" w:color="auto"/>
              <w:right w:val="single" w:sz="4" w:space="0" w:color="auto"/>
            </w:tcBorders>
          </w:tcPr>
          <w:p w:rsidR="00BC64F9" w:rsidRPr="00237642" w:rsidRDefault="00BC64F9" w:rsidP="00BC64F9">
            <w:pPr>
              <w:pStyle w:val="TableofFigures"/>
              <w:jc w:val="right"/>
              <w:rPr>
                <w:rFonts w:eastAsia="Cambria"/>
                <w:b/>
              </w:rPr>
            </w:pPr>
            <w:r>
              <w:rPr>
                <w:rFonts w:eastAsia="Cambria"/>
              </w:rPr>
              <w:t>N/A</w:t>
            </w:r>
          </w:p>
        </w:tc>
        <w:tc>
          <w:tcPr>
            <w:tcW w:w="1206" w:type="dxa"/>
            <w:tcBorders>
              <w:top w:val="single" w:sz="4" w:space="0" w:color="auto"/>
              <w:left w:val="single" w:sz="4" w:space="0" w:color="auto"/>
              <w:bottom w:val="single" w:sz="4" w:space="0" w:color="auto"/>
              <w:right w:val="single" w:sz="4" w:space="0" w:color="auto"/>
            </w:tcBorders>
          </w:tcPr>
          <w:p w:rsidR="00BC64F9" w:rsidRPr="00237642" w:rsidRDefault="00BC64F9" w:rsidP="00BC64F9">
            <w:pPr>
              <w:pStyle w:val="TableofFigures"/>
              <w:jc w:val="right"/>
              <w:rPr>
                <w:rFonts w:eastAsia="Cambria"/>
                <w:b/>
              </w:rPr>
            </w:pPr>
            <w:r>
              <w:rPr>
                <w:rFonts w:eastAsia="Cambria"/>
              </w:rPr>
              <w:t>N/A</w:t>
            </w:r>
          </w:p>
        </w:tc>
        <w:tc>
          <w:tcPr>
            <w:tcW w:w="1206" w:type="dxa"/>
            <w:tcBorders>
              <w:top w:val="single" w:sz="4" w:space="0" w:color="auto"/>
              <w:left w:val="single" w:sz="4" w:space="0" w:color="auto"/>
              <w:bottom w:val="single" w:sz="4" w:space="0" w:color="auto"/>
              <w:right w:val="single" w:sz="4" w:space="0" w:color="auto"/>
            </w:tcBorders>
          </w:tcPr>
          <w:p w:rsidR="00BC64F9" w:rsidRPr="00237642" w:rsidRDefault="00BC64F9" w:rsidP="00BC64F9">
            <w:pPr>
              <w:pStyle w:val="TableofFigures"/>
              <w:jc w:val="right"/>
              <w:rPr>
                <w:rFonts w:eastAsia="Cambria"/>
                <w:b/>
              </w:rPr>
            </w:pPr>
            <w:r>
              <w:rPr>
                <w:rFonts w:eastAsia="Cambria"/>
              </w:rPr>
              <w:t>N/A</w:t>
            </w:r>
          </w:p>
        </w:tc>
      </w:tr>
    </w:tbl>
    <w:p w:rsidR="006F0AF9" w:rsidRPr="00237642" w:rsidRDefault="00BC64F9" w:rsidP="00AC6B17">
      <w:pPr>
        <w:pStyle w:val="ListBullet"/>
        <w:spacing w:before="120" w:after="60"/>
      </w:pPr>
      <w:r>
        <w:t>Residual scope 2 emissions (t CO</w:t>
      </w:r>
      <w:r w:rsidRPr="00BC64F9">
        <w:rPr>
          <w:vertAlign w:val="subscript"/>
        </w:rPr>
        <w:t>2</w:t>
      </w:r>
      <w:r>
        <w:t xml:space="preserve">e): </w:t>
      </w:r>
      <w:r w:rsidRPr="00BC64F9">
        <w:t>14,730.98</w:t>
      </w:r>
    </w:p>
    <w:p w:rsidR="00BC64F9" w:rsidRDefault="00BC64F9" w:rsidP="00AC6B17">
      <w:pPr>
        <w:pStyle w:val="ListBullet"/>
        <w:spacing w:before="120" w:after="60"/>
      </w:pPr>
      <w:r w:rsidRPr="00BC64F9">
        <w:t xml:space="preserve">Residual scope 3 emissions </w:t>
      </w:r>
      <w:r>
        <w:t>(t CO</w:t>
      </w:r>
      <w:r w:rsidRPr="00BC64F9">
        <w:rPr>
          <w:vertAlign w:val="subscript"/>
        </w:rPr>
        <w:t>2</w:t>
      </w:r>
      <w:r>
        <w:t xml:space="preserve">e): </w:t>
      </w:r>
      <w:r w:rsidRPr="00BC64F9">
        <w:t>1,214.28</w:t>
      </w:r>
    </w:p>
    <w:p w:rsidR="0058235F" w:rsidRDefault="00BC64F9" w:rsidP="00AC6B17">
      <w:pPr>
        <w:pStyle w:val="ListBullet"/>
        <w:spacing w:before="120" w:after="60"/>
      </w:pPr>
      <w:r>
        <w:t>Scope 2 emissions liability (adjusted for already offset carbon neutral electricity) (t CO</w:t>
      </w:r>
      <w:r w:rsidRPr="00BC64F9">
        <w:rPr>
          <w:vertAlign w:val="subscript"/>
        </w:rPr>
        <w:t>2</w:t>
      </w:r>
      <w:r>
        <w:t>e):</w:t>
      </w:r>
      <w:r w:rsidRPr="00BC64F9">
        <w:t xml:space="preserve"> 14,730.98</w:t>
      </w:r>
    </w:p>
    <w:p w:rsidR="00BC64F9" w:rsidRDefault="00BC64F9" w:rsidP="00AC6B17">
      <w:pPr>
        <w:pStyle w:val="ListBullet"/>
        <w:spacing w:before="120" w:after="60"/>
      </w:pPr>
      <w:r>
        <w:t>Scope 3 emissions liability (adjusted for already offset carbon neutral electricity)</w:t>
      </w:r>
      <w:r w:rsidR="00AC6B17" w:rsidRPr="00AC6B17">
        <w:t xml:space="preserve"> </w:t>
      </w:r>
      <w:r w:rsidR="00AC6B17">
        <w:t>(t CO</w:t>
      </w:r>
      <w:r w:rsidR="00AC6B17" w:rsidRPr="00BC64F9">
        <w:rPr>
          <w:vertAlign w:val="subscript"/>
        </w:rPr>
        <w:t>2</w:t>
      </w:r>
      <w:r w:rsidR="00AC6B17">
        <w:t xml:space="preserve">e): </w:t>
      </w:r>
      <w:r w:rsidR="00AC6B17" w:rsidRPr="00AC6B17">
        <w:t>1,214.28</w:t>
      </w:r>
    </w:p>
    <w:p w:rsidR="00AC6B17" w:rsidRPr="00C87D88" w:rsidRDefault="00AC6B17" w:rsidP="0028340B">
      <w:pPr>
        <w:pStyle w:val="ListBullet"/>
        <w:spacing w:before="120" w:after="0" w:line="240" w:lineRule="auto"/>
      </w:pPr>
      <w:r w:rsidRPr="00AC6B17">
        <w:t>Total emissions liability</w:t>
      </w:r>
      <w:r>
        <w:t>(t CO</w:t>
      </w:r>
      <w:r w:rsidRPr="00C87D88">
        <w:rPr>
          <w:vertAlign w:val="subscript"/>
        </w:rPr>
        <w:t>2</w:t>
      </w:r>
      <w:r>
        <w:t xml:space="preserve">e): </w:t>
      </w:r>
      <w:r w:rsidRPr="00AC6B17">
        <w:t>15,945.26</w:t>
      </w:r>
      <w:bookmarkStart w:id="67" w:name="_Toc403992349"/>
      <w:bookmarkStart w:id="68" w:name="_Toc403992585"/>
      <w:bookmarkEnd w:id="2"/>
      <w:bookmarkEnd w:id="3"/>
      <w:bookmarkEnd w:id="11"/>
      <w:bookmarkEnd w:id="12"/>
      <w:r>
        <w:br w:type="page"/>
      </w:r>
    </w:p>
    <w:p w:rsidR="004A26E3" w:rsidRDefault="00AC6B17" w:rsidP="005B7ACA">
      <w:pPr>
        <w:pStyle w:val="Heading1"/>
        <w:rPr>
          <w:rFonts w:hint="eastAsia"/>
        </w:rPr>
      </w:pPr>
      <w:bookmarkStart w:id="69" w:name="_Toc158887382"/>
      <w:r>
        <w:lastRenderedPageBreak/>
        <w:t xml:space="preserve">Appendix </w:t>
      </w:r>
      <w:bookmarkEnd w:id="67"/>
      <w:bookmarkEnd w:id="68"/>
      <w:r w:rsidR="005B7ACA">
        <w:t>C: Inside Emissions Boundary</w:t>
      </w:r>
      <w:bookmarkEnd w:id="69"/>
    </w:p>
    <w:p w:rsidR="005B7ACA" w:rsidRPr="005B7ACA" w:rsidRDefault="005B7ACA" w:rsidP="005B7ACA">
      <w:pPr>
        <w:pStyle w:val="Heading2"/>
        <w:rPr>
          <w:rFonts w:hint="eastAsia"/>
        </w:rPr>
      </w:pPr>
      <w:bookmarkStart w:id="70" w:name="_Toc158887383"/>
      <w:r w:rsidRPr="005B7ACA">
        <w:t>Non-quantified emission sources</w:t>
      </w:r>
      <w:bookmarkEnd w:id="70"/>
    </w:p>
    <w:p w:rsidR="005B7ACA" w:rsidRPr="005B7ACA" w:rsidRDefault="005B7ACA" w:rsidP="005B7ACA">
      <w:pPr>
        <w:rPr>
          <w:lang w:val="en-US"/>
        </w:rPr>
      </w:pPr>
      <w:r w:rsidRPr="005B7ACA">
        <w:rPr>
          <w:lang w:val="en-US"/>
        </w:rPr>
        <w:t>The following sources emissions have been assessed as relevant, ar</w:t>
      </w:r>
      <w:r>
        <w:rPr>
          <w:lang w:val="en-US"/>
        </w:rPr>
        <w:t xml:space="preserve">e captured within the emissions </w:t>
      </w:r>
      <w:r w:rsidRPr="005B7ACA">
        <w:rPr>
          <w:lang w:val="en-US"/>
        </w:rPr>
        <w:t>boundary, but are not measured (quantified) in the carbon inventory. Th</w:t>
      </w:r>
      <w:r>
        <w:rPr>
          <w:lang w:val="en-US"/>
        </w:rPr>
        <w:t xml:space="preserve">ey have been non-quantified due </w:t>
      </w:r>
      <w:r w:rsidRPr="005B7ACA">
        <w:rPr>
          <w:lang w:val="en-US"/>
        </w:rPr>
        <w:t>to one of the following reasons:</w:t>
      </w:r>
    </w:p>
    <w:p w:rsidR="005B7ACA" w:rsidRDefault="005B7ACA" w:rsidP="005B7ACA">
      <w:pPr>
        <w:pStyle w:val="ListNumber"/>
        <w:numPr>
          <w:ilvl w:val="0"/>
          <w:numId w:val="23"/>
        </w:numPr>
        <w:rPr>
          <w:lang w:val="en-US"/>
        </w:rPr>
      </w:pPr>
      <w:r w:rsidRPr="005B7ACA">
        <w:rPr>
          <w:lang w:val="en-US"/>
        </w:rPr>
        <w:t>Immaterial &lt;1% for individual items and no more than 5% collectively</w:t>
      </w:r>
    </w:p>
    <w:p w:rsidR="005B7ACA" w:rsidRDefault="005B7ACA" w:rsidP="005B7ACA">
      <w:pPr>
        <w:pStyle w:val="ListNumber"/>
        <w:numPr>
          <w:ilvl w:val="0"/>
          <w:numId w:val="23"/>
        </w:numPr>
        <w:rPr>
          <w:lang w:val="en-US"/>
        </w:rPr>
      </w:pPr>
      <w:r w:rsidRPr="005B7ACA">
        <w:rPr>
          <w:lang w:val="en-US"/>
        </w:rPr>
        <w:t>Cost effective Quantification is not cost effective relative to the size of the emission but uplift applied.</w:t>
      </w:r>
    </w:p>
    <w:p w:rsidR="005B7ACA" w:rsidRDefault="005B7ACA" w:rsidP="005B7ACA">
      <w:pPr>
        <w:pStyle w:val="ListNumber"/>
        <w:numPr>
          <w:ilvl w:val="0"/>
          <w:numId w:val="23"/>
        </w:numPr>
        <w:rPr>
          <w:lang w:val="en-US"/>
        </w:rPr>
      </w:pPr>
      <w:r w:rsidRPr="005B7ACA">
        <w:rPr>
          <w:lang w:val="en-US"/>
        </w:rPr>
        <w:t>Data unavailable Data is unavailable but uplift applied. A data management plan must be put in place to provide data within 5 years.</w:t>
      </w:r>
    </w:p>
    <w:p w:rsidR="005B7ACA" w:rsidRPr="005B7ACA" w:rsidRDefault="005B7ACA" w:rsidP="005B7ACA">
      <w:pPr>
        <w:pStyle w:val="ListNumber"/>
        <w:numPr>
          <w:ilvl w:val="0"/>
          <w:numId w:val="23"/>
        </w:numPr>
        <w:rPr>
          <w:lang w:val="en-US"/>
        </w:rPr>
      </w:pPr>
      <w:r w:rsidRPr="005B7ACA">
        <w:rPr>
          <w:lang w:val="en-US"/>
        </w:rPr>
        <w:t>Maintenance Initial emissions non-quantified but repairs and replacements quantified.</w:t>
      </w:r>
    </w:p>
    <w:p w:rsidR="005B7ACA" w:rsidRDefault="005B7ACA" w:rsidP="005B7ACA">
      <w:pPr>
        <w:rPr>
          <w:lang w:val="en-US"/>
        </w:rPr>
      </w:pPr>
      <w:r w:rsidRPr="005B7ACA">
        <w:rPr>
          <w:lang w:val="en-US"/>
        </w:rPr>
        <w:t>Non-quantified emissions have been assessed as relevant and are captured within the emissions</w:t>
      </w:r>
      <w:r>
        <w:rPr>
          <w:lang w:val="en-US"/>
        </w:rPr>
        <w:t xml:space="preserve"> </w:t>
      </w:r>
      <w:r w:rsidRPr="005B7ACA">
        <w:rPr>
          <w:lang w:val="en-US"/>
        </w:rPr>
        <w:t>boundary, but are not measured (quantified) in the carbon inventory. All material emissions are accounted</w:t>
      </w:r>
      <w:r>
        <w:rPr>
          <w:lang w:val="en-US"/>
        </w:rPr>
        <w:t xml:space="preserve"> </w:t>
      </w:r>
      <w:r w:rsidRPr="005B7ACA">
        <w:rPr>
          <w:lang w:val="en-US"/>
        </w:rPr>
        <w:t>for through an uplift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2"/>
        <w:gridCol w:w="1699"/>
        <w:gridCol w:w="1699"/>
        <w:gridCol w:w="1699"/>
        <w:gridCol w:w="1700"/>
      </w:tblGrid>
      <w:tr w:rsidR="005B7ACA" w:rsidTr="00235B6A">
        <w:tc>
          <w:tcPr>
            <w:tcW w:w="2972"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rPr>
                <w:rFonts w:eastAsia="Cambria"/>
                <w:b/>
              </w:rPr>
            </w:pPr>
            <w:r>
              <w:rPr>
                <w:rFonts w:eastAsia="Cambria"/>
                <w:b/>
              </w:rPr>
              <w:t>Relevant-non-quantified emission sources</w:t>
            </w:r>
          </w:p>
        </w:tc>
        <w:tc>
          <w:tcPr>
            <w:tcW w:w="1699"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rPr>
                <w:rFonts w:eastAsia="Cambria"/>
                <w:b/>
              </w:rPr>
            </w:pPr>
            <w:r>
              <w:rPr>
                <w:rFonts w:eastAsia="Cambria"/>
                <w:b/>
              </w:rPr>
              <w:t>(1) Immaterial</w:t>
            </w:r>
          </w:p>
        </w:tc>
        <w:tc>
          <w:tcPr>
            <w:tcW w:w="1699"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rPr>
                <w:rFonts w:eastAsia="Cambria"/>
                <w:b/>
              </w:rPr>
            </w:pPr>
            <w:r>
              <w:rPr>
                <w:rFonts w:eastAsia="Cambria"/>
                <w:b/>
              </w:rPr>
              <w:t>(2) Cost effective (but uplift applied)</w:t>
            </w:r>
          </w:p>
        </w:tc>
        <w:tc>
          <w:tcPr>
            <w:tcW w:w="1699"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rPr>
                <w:rFonts w:eastAsia="Cambria"/>
                <w:b/>
              </w:rPr>
            </w:pPr>
            <w:r>
              <w:rPr>
                <w:rFonts w:eastAsia="Cambria"/>
                <w:b/>
              </w:rPr>
              <w:t>(3) Data unavailable (but uplift applied &amp; data plan in place)</w:t>
            </w:r>
          </w:p>
        </w:tc>
        <w:tc>
          <w:tcPr>
            <w:tcW w:w="1700"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rPr>
                <w:rFonts w:eastAsia="Cambria"/>
                <w:b/>
              </w:rPr>
            </w:pPr>
            <w:r>
              <w:rPr>
                <w:rFonts w:eastAsia="Cambria"/>
                <w:b/>
              </w:rPr>
              <w:t>(4) Maintenance</w:t>
            </w:r>
          </w:p>
        </w:tc>
      </w:tr>
      <w:tr w:rsidR="005B7ACA" w:rsidTr="00235B6A">
        <w:tc>
          <w:tcPr>
            <w:tcW w:w="2972"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rPr>
                <w:rFonts w:eastAsia="Cambria"/>
              </w:rPr>
            </w:pPr>
            <w:r>
              <w:rPr>
                <w:rFonts w:eastAsia="Cambria"/>
              </w:rPr>
              <w:t>Purchased goods and services (artists/speaker travel)</w:t>
            </w:r>
          </w:p>
        </w:tc>
        <w:tc>
          <w:tcPr>
            <w:tcW w:w="1699"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jc w:val="center"/>
              <w:rPr>
                <w:rFonts w:eastAsia="Cambria"/>
              </w:rPr>
            </w:pPr>
            <w:r>
              <w:rPr>
                <w:rFonts w:eastAsia="Cambria"/>
              </w:rPr>
              <w:t>Yes</w:t>
            </w:r>
          </w:p>
        </w:tc>
        <w:tc>
          <w:tcPr>
            <w:tcW w:w="1699"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jc w:val="center"/>
              <w:rPr>
                <w:rFonts w:eastAsia="Cambria"/>
              </w:rPr>
            </w:pPr>
            <w:r>
              <w:rPr>
                <w:rFonts w:eastAsia="Cambria"/>
              </w:rPr>
              <w:t>No</w:t>
            </w:r>
          </w:p>
        </w:tc>
        <w:tc>
          <w:tcPr>
            <w:tcW w:w="1699"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jc w:val="center"/>
              <w:rPr>
                <w:rFonts w:eastAsia="Cambria"/>
              </w:rPr>
            </w:pPr>
            <w:r>
              <w:rPr>
                <w:rFonts w:eastAsia="Cambria"/>
              </w:rPr>
              <w:t>No</w:t>
            </w:r>
          </w:p>
        </w:tc>
        <w:tc>
          <w:tcPr>
            <w:tcW w:w="1700"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jc w:val="center"/>
              <w:rPr>
                <w:rFonts w:eastAsia="Cambria"/>
              </w:rPr>
            </w:pPr>
            <w:r>
              <w:rPr>
                <w:rFonts w:eastAsia="Cambria"/>
              </w:rPr>
              <w:t>No</w:t>
            </w:r>
          </w:p>
        </w:tc>
      </w:tr>
      <w:tr w:rsidR="005B7ACA" w:rsidTr="00235B6A">
        <w:tc>
          <w:tcPr>
            <w:tcW w:w="2972"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rPr>
                <w:rFonts w:eastAsia="Cambria"/>
              </w:rPr>
            </w:pPr>
            <w:r>
              <w:rPr>
                <w:rFonts w:eastAsia="Cambria"/>
              </w:rPr>
              <w:t>Web hosting &amp; Services</w:t>
            </w:r>
          </w:p>
        </w:tc>
        <w:tc>
          <w:tcPr>
            <w:tcW w:w="1699"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jc w:val="center"/>
              <w:rPr>
                <w:rFonts w:eastAsia="Cambria"/>
              </w:rPr>
            </w:pPr>
            <w:r>
              <w:rPr>
                <w:rFonts w:eastAsia="Cambria"/>
              </w:rPr>
              <w:t>No</w:t>
            </w:r>
          </w:p>
        </w:tc>
        <w:tc>
          <w:tcPr>
            <w:tcW w:w="1699"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jc w:val="center"/>
              <w:rPr>
                <w:rFonts w:eastAsia="Cambria"/>
              </w:rPr>
            </w:pPr>
            <w:r>
              <w:rPr>
                <w:rFonts w:eastAsia="Cambria"/>
              </w:rPr>
              <w:t>No</w:t>
            </w:r>
          </w:p>
        </w:tc>
        <w:tc>
          <w:tcPr>
            <w:tcW w:w="1699"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jc w:val="center"/>
              <w:rPr>
                <w:rFonts w:eastAsia="Cambria"/>
              </w:rPr>
            </w:pPr>
            <w:r>
              <w:rPr>
                <w:rFonts w:eastAsia="Cambria"/>
              </w:rPr>
              <w:t>Yes</w:t>
            </w:r>
          </w:p>
        </w:tc>
        <w:tc>
          <w:tcPr>
            <w:tcW w:w="1700"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jc w:val="center"/>
              <w:rPr>
                <w:rFonts w:eastAsia="Cambria"/>
              </w:rPr>
            </w:pPr>
            <w:r>
              <w:rPr>
                <w:rFonts w:eastAsia="Cambria"/>
              </w:rPr>
              <w:t>No</w:t>
            </w:r>
          </w:p>
        </w:tc>
      </w:tr>
      <w:tr w:rsidR="005B7ACA" w:rsidTr="00235B6A">
        <w:tc>
          <w:tcPr>
            <w:tcW w:w="2972"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rPr>
                <w:rFonts w:eastAsia="Cambria"/>
              </w:rPr>
            </w:pPr>
            <w:r>
              <w:rPr>
                <w:rFonts w:eastAsia="Cambria"/>
              </w:rPr>
              <w:t>Video/Filming/Photography</w:t>
            </w:r>
          </w:p>
        </w:tc>
        <w:tc>
          <w:tcPr>
            <w:tcW w:w="1699"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jc w:val="center"/>
              <w:rPr>
                <w:rFonts w:eastAsia="Cambria"/>
              </w:rPr>
            </w:pPr>
            <w:r>
              <w:rPr>
                <w:rFonts w:eastAsia="Cambria"/>
              </w:rPr>
              <w:t>No</w:t>
            </w:r>
          </w:p>
        </w:tc>
        <w:tc>
          <w:tcPr>
            <w:tcW w:w="1699"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jc w:val="center"/>
              <w:rPr>
                <w:rFonts w:eastAsia="Cambria"/>
              </w:rPr>
            </w:pPr>
            <w:r>
              <w:rPr>
                <w:rFonts w:eastAsia="Cambria"/>
              </w:rPr>
              <w:t>Yes</w:t>
            </w:r>
          </w:p>
        </w:tc>
        <w:tc>
          <w:tcPr>
            <w:tcW w:w="1699"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jc w:val="center"/>
              <w:rPr>
                <w:rFonts w:eastAsia="Cambria"/>
              </w:rPr>
            </w:pPr>
            <w:r>
              <w:rPr>
                <w:rFonts w:eastAsia="Cambria"/>
              </w:rPr>
              <w:t>No</w:t>
            </w:r>
          </w:p>
        </w:tc>
        <w:tc>
          <w:tcPr>
            <w:tcW w:w="1700" w:type="dxa"/>
            <w:tcBorders>
              <w:top w:val="single" w:sz="4" w:space="0" w:color="auto"/>
              <w:left w:val="single" w:sz="4" w:space="0" w:color="auto"/>
              <w:bottom w:val="single" w:sz="4" w:space="0" w:color="auto"/>
              <w:right w:val="single" w:sz="4" w:space="0" w:color="auto"/>
            </w:tcBorders>
            <w:hideMark/>
          </w:tcPr>
          <w:p w:rsidR="005B7ACA" w:rsidRDefault="005B7ACA" w:rsidP="00235B6A">
            <w:pPr>
              <w:pStyle w:val="TableofFigures"/>
              <w:jc w:val="center"/>
              <w:rPr>
                <w:rFonts w:eastAsia="Cambria"/>
              </w:rPr>
            </w:pPr>
            <w:r>
              <w:rPr>
                <w:rFonts w:eastAsia="Cambria"/>
              </w:rPr>
              <w:t>No</w:t>
            </w:r>
          </w:p>
        </w:tc>
      </w:tr>
      <w:tr w:rsidR="005B7ACA" w:rsidTr="00235B6A">
        <w:tc>
          <w:tcPr>
            <w:tcW w:w="2972" w:type="dxa"/>
            <w:tcBorders>
              <w:top w:val="single" w:sz="4" w:space="0" w:color="auto"/>
              <w:left w:val="single" w:sz="4" w:space="0" w:color="auto"/>
              <w:bottom w:val="single" w:sz="4" w:space="0" w:color="auto"/>
              <w:right w:val="single" w:sz="4" w:space="0" w:color="auto"/>
            </w:tcBorders>
          </w:tcPr>
          <w:p w:rsidR="005B7ACA" w:rsidRDefault="005B7ACA" w:rsidP="00235B6A">
            <w:pPr>
              <w:pStyle w:val="TableofFigures"/>
              <w:rPr>
                <w:rFonts w:eastAsia="Cambria"/>
              </w:rPr>
            </w:pPr>
            <w:r>
              <w:rPr>
                <w:rFonts w:eastAsia="Cambria"/>
              </w:rPr>
              <w:t>Catering</w:t>
            </w:r>
          </w:p>
        </w:tc>
        <w:tc>
          <w:tcPr>
            <w:tcW w:w="1699" w:type="dxa"/>
            <w:tcBorders>
              <w:top w:val="single" w:sz="4" w:space="0" w:color="auto"/>
              <w:left w:val="single" w:sz="4" w:space="0" w:color="auto"/>
              <w:bottom w:val="single" w:sz="4" w:space="0" w:color="auto"/>
              <w:right w:val="single" w:sz="4" w:space="0" w:color="auto"/>
            </w:tcBorders>
          </w:tcPr>
          <w:p w:rsidR="005B7ACA" w:rsidRDefault="005B7ACA" w:rsidP="00235B6A">
            <w:pPr>
              <w:pStyle w:val="TableofFigures"/>
              <w:jc w:val="center"/>
              <w:rPr>
                <w:rFonts w:eastAsia="Cambria"/>
              </w:rPr>
            </w:pPr>
            <w:r>
              <w:rPr>
                <w:rFonts w:eastAsia="Cambria"/>
              </w:rPr>
              <w:t>No</w:t>
            </w:r>
          </w:p>
        </w:tc>
        <w:tc>
          <w:tcPr>
            <w:tcW w:w="1699" w:type="dxa"/>
            <w:tcBorders>
              <w:top w:val="single" w:sz="4" w:space="0" w:color="auto"/>
              <w:left w:val="single" w:sz="4" w:space="0" w:color="auto"/>
              <w:bottom w:val="single" w:sz="4" w:space="0" w:color="auto"/>
              <w:right w:val="single" w:sz="4" w:space="0" w:color="auto"/>
            </w:tcBorders>
          </w:tcPr>
          <w:p w:rsidR="005B7ACA" w:rsidRDefault="005B7ACA" w:rsidP="00235B6A">
            <w:pPr>
              <w:pStyle w:val="TableofFigures"/>
              <w:jc w:val="center"/>
              <w:rPr>
                <w:rFonts w:eastAsia="Cambria"/>
              </w:rPr>
            </w:pPr>
            <w:r>
              <w:rPr>
                <w:rFonts w:eastAsia="Cambria"/>
              </w:rPr>
              <w:t>Yes</w:t>
            </w:r>
          </w:p>
        </w:tc>
        <w:tc>
          <w:tcPr>
            <w:tcW w:w="1699" w:type="dxa"/>
            <w:tcBorders>
              <w:top w:val="single" w:sz="4" w:space="0" w:color="auto"/>
              <w:left w:val="single" w:sz="4" w:space="0" w:color="auto"/>
              <w:bottom w:val="single" w:sz="4" w:space="0" w:color="auto"/>
              <w:right w:val="single" w:sz="4" w:space="0" w:color="auto"/>
            </w:tcBorders>
          </w:tcPr>
          <w:p w:rsidR="005B7ACA" w:rsidRDefault="005B7ACA" w:rsidP="00235B6A">
            <w:pPr>
              <w:pStyle w:val="TableofFigures"/>
              <w:jc w:val="center"/>
              <w:rPr>
                <w:rFonts w:eastAsia="Cambria"/>
              </w:rPr>
            </w:pPr>
            <w:r>
              <w:rPr>
                <w:rFonts w:eastAsia="Cambria"/>
              </w:rPr>
              <w:t>No</w:t>
            </w:r>
          </w:p>
        </w:tc>
        <w:tc>
          <w:tcPr>
            <w:tcW w:w="1700" w:type="dxa"/>
            <w:tcBorders>
              <w:top w:val="single" w:sz="4" w:space="0" w:color="auto"/>
              <w:left w:val="single" w:sz="4" w:space="0" w:color="auto"/>
              <w:bottom w:val="single" w:sz="4" w:space="0" w:color="auto"/>
              <w:right w:val="single" w:sz="4" w:space="0" w:color="auto"/>
            </w:tcBorders>
          </w:tcPr>
          <w:p w:rsidR="005B7ACA" w:rsidRDefault="005B7ACA" w:rsidP="00235B6A">
            <w:pPr>
              <w:pStyle w:val="TableofFigures"/>
              <w:jc w:val="center"/>
              <w:rPr>
                <w:rFonts w:eastAsia="Cambria"/>
              </w:rPr>
            </w:pPr>
            <w:r>
              <w:rPr>
                <w:rFonts w:eastAsia="Cambria"/>
              </w:rPr>
              <w:t>No</w:t>
            </w:r>
          </w:p>
        </w:tc>
      </w:tr>
      <w:tr w:rsidR="005B7ACA" w:rsidTr="00235B6A">
        <w:tc>
          <w:tcPr>
            <w:tcW w:w="2972" w:type="dxa"/>
            <w:tcBorders>
              <w:top w:val="single" w:sz="4" w:space="0" w:color="auto"/>
              <w:left w:val="single" w:sz="4" w:space="0" w:color="auto"/>
              <w:bottom w:val="single" w:sz="4" w:space="0" w:color="auto"/>
              <w:right w:val="single" w:sz="4" w:space="0" w:color="auto"/>
            </w:tcBorders>
          </w:tcPr>
          <w:p w:rsidR="005B7ACA" w:rsidRDefault="005B7ACA" w:rsidP="00235B6A">
            <w:pPr>
              <w:pStyle w:val="TableofFigures"/>
              <w:rPr>
                <w:rFonts w:eastAsia="Cambria"/>
              </w:rPr>
            </w:pPr>
            <w:r>
              <w:rPr>
                <w:rFonts w:eastAsia="Cambria"/>
              </w:rPr>
              <w:t>Real estate services</w:t>
            </w:r>
          </w:p>
        </w:tc>
        <w:tc>
          <w:tcPr>
            <w:tcW w:w="1699" w:type="dxa"/>
            <w:tcBorders>
              <w:top w:val="single" w:sz="4" w:space="0" w:color="auto"/>
              <w:left w:val="single" w:sz="4" w:space="0" w:color="auto"/>
              <w:bottom w:val="single" w:sz="4" w:space="0" w:color="auto"/>
              <w:right w:val="single" w:sz="4" w:space="0" w:color="auto"/>
            </w:tcBorders>
          </w:tcPr>
          <w:p w:rsidR="005B7ACA" w:rsidRDefault="005B7ACA" w:rsidP="00235B6A">
            <w:pPr>
              <w:pStyle w:val="TableofFigures"/>
              <w:jc w:val="center"/>
              <w:rPr>
                <w:rFonts w:eastAsia="Cambria"/>
              </w:rPr>
            </w:pPr>
            <w:r>
              <w:rPr>
                <w:rFonts w:eastAsia="Cambria"/>
              </w:rPr>
              <w:t>Yes</w:t>
            </w:r>
          </w:p>
        </w:tc>
        <w:tc>
          <w:tcPr>
            <w:tcW w:w="1699" w:type="dxa"/>
            <w:tcBorders>
              <w:top w:val="single" w:sz="4" w:space="0" w:color="auto"/>
              <w:left w:val="single" w:sz="4" w:space="0" w:color="auto"/>
              <w:bottom w:val="single" w:sz="4" w:space="0" w:color="auto"/>
              <w:right w:val="single" w:sz="4" w:space="0" w:color="auto"/>
            </w:tcBorders>
          </w:tcPr>
          <w:p w:rsidR="005B7ACA" w:rsidRDefault="005B7ACA" w:rsidP="00235B6A">
            <w:pPr>
              <w:pStyle w:val="TableofFigures"/>
              <w:jc w:val="center"/>
              <w:rPr>
                <w:rFonts w:eastAsia="Cambria"/>
              </w:rPr>
            </w:pPr>
            <w:r>
              <w:rPr>
                <w:rFonts w:eastAsia="Cambria"/>
              </w:rPr>
              <w:t>No</w:t>
            </w:r>
          </w:p>
        </w:tc>
        <w:tc>
          <w:tcPr>
            <w:tcW w:w="1699" w:type="dxa"/>
            <w:tcBorders>
              <w:top w:val="single" w:sz="4" w:space="0" w:color="auto"/>
              <w:left w:val="single" w:sz="4" w:space="0" w:color="auto"/>
              <w:bottom w:val="single" w:sz="4" w:space="0" w:color="auto"/>
              <w:right w:val="single" w:sz="4" w:space="0" w:color="auto"/>
            </w:tcBorders>
          </w:tcPr>
          <w:p w:rsidR="005B7ACA" w:rsidRDefault="005B7ACA" w:rsidP="00235B6A">
            <w:pPr>
              <w:pStyle w:val="TableofFigures"/>
              <w:jc w:val="center"/>
              <w:rPr>
                <w:rFonts w:eastAsia="Cambria"/>
              </w:rPr>
            </w:pPr>
            <w:r>
              <w:rPr>
                <w:rFonts w:eastAsia="Cambria"/>
              </w:rPr>
              <w:t>No</w:t>
            </w:r>
          </w:p>
        </w:tc>
        <w:tc>
          <w:tcPr>
            <w:tcW w:w="1700" w:type="dxa"/>
            <w:tcBorders>
              <w:top w:val="single" w:sz="4" w:space="0" w:color="auto"/>
              <w:left w:val="single" w:sz="4" w:space="0" w:color="auto"/>
              <w:bottom w:val="single" w:sz="4" w:space="0" w:color="auto"/>
              <w:right w:val="single" w:sz="4" w:space="0" w:color="auto"/>
            </w:tcBorders>
          </w:tcPr>
          <w:p w:rsidR="005B7ACA" w:rsidRDefault="005B7ACA" w:rsidP="00235B6A">
            <w:pPr>
              <w:pStyle w:val="TableofFigures"/>
              <w:jc w:val="center"/>
              <w:rPr>
                <w:rFonts w:eastAsia="Cambria"/>
              </w:rPr>
            </w:pPr>
            <w:r>
              <w:rPr>
                <w:rFonts w:eastAsia="Cambria"/>
              </w:rPr>
              <w:t>No</w:t>
            </w:r>
          </w:p>
        </w:tc>
      </w:tr>
    </w:tbl>
    <w:p w:rsidR="005B7ACA" w:rsidRPr="005B7ACA" w:rsidRDefault="005B7ACA" w:rsidP="005B7ACA">
      <w:pPr>
        <w:pStyle w:val="Heading2"/>
        <w:rPr>
          <w:rFonts w:hint="eastAsia"/>
        </w:rPr>
      </w:pPr>
      <w:bookmarkStart w:id="71" w:name="_Toc158887384"/>
      <w:r w:rsidRPr="005B7ACA">
        <w:t>Data management plan for non-quantified sources</w:t>
      </w:r>
      <w:bookmarkEnd w:id="71"/>
    </w:p>
    <w:p w:rsidR="005B7ACA" w:rsidRDefault="005B7ACA" w:rsidP="005B7ACA">
      <w:pPr>
        <w:rPr>
          <w:lang w:val="en-US"/>
        </w:rPr>
      </w:pPr>
      <w:r w:rsidRPr="005B7ACA">
        <w:rPr>
          <w:lang w:val="en-US"/>
        </w:rPr>
        <w:t>The data management plan below outlines how more rigorous quantificati</w:t>
      </w:r>
      <w:r>
        <w:rPr>
          <w:lang w:val="en-US"/>
        </w:rPr>
        <w:t xml:space="preserve">on can be achieved for material </w:t>
      </w:r>
      <w:r w:rsidRPr="005B7ACA">
        <w:rPr>
          <w:lang w:val="en-US"/>
        </w:rPr>
        <w:t>(greater than 1%) non-quantified emission sources.</w:t>
      </w:r>
    </w:p>
    <w:tbl>
      <w:tblPr>
        <w:tblStyle w:val="TableGrid"/>
        <w:tblW w:w="0" w:type="auto"/>
        <w:tblLook w:val="04A0" w:firstRow="1" w:lastRow="0" w:firstColumn="1" w:lastColumn="0" w:noHBand="0" w:noVBand="1"/>
      </w:tblPr>
      <w:tblGrid>
        <w:gridCol w:w="2972"/>
        <w:gridCol w:w="6797"/>
      </w:tblGrid>
      <w:tr w:rsidR="00D1648B" w:rsidTr="00235B6A">
        <w:tc>
          <w:tcPr>
            <w:tcW w:w="2972" w:type="dxa"/>
          </w:tcPr>
          <w:p w:rsidR="00D1648B" w:rsidRPr="00B5323C" w:rsidRDefault="00D1648B" w:rsidP="00235B6A">
            <w:pPr>
              <w:rPr>
                <w:b/>
              </w:rPr>
            </w:pPr>
            <w:r w:rsidRPr="00B5323C">
              <w:rPr>
                <w:b/>
              </w:rPr>
              <w:t>Non quantified emission sources</w:t>
            </w:r>
          </w:p>
        </w:tc>
        <w:tc>
          <w:tcPr>
            <w:tcW w:w="6797" w:type="dxa"/>
          </w:tcPr>
          <w:p w:rsidR="00D1648B" w:rsidRPr="00B5323C" w:rsidRDefault="00D1648B" w:rsidP="00235B6A">
            <w:pPr>
              <w:rPr>
                <w:b/>
              </w:rPr>
            </w:pPr>
            <w:r w:rsidRPr="00B5323C">
              <w:rPr>
                <w:b/>
              </w:rPr>
              <w:t>Data management plan to quantify these sources</w:t>
            </w:r>
          </w:p>
        </w:tc>
      </w:tr>
      <w:tr w:rsidR="00D1648B" w:rsidTr="00235B6A">
        <w:tc>
          <w:tcPr>
            <w:tcW w:w="2972" w:type="dxa"/>
          </w:tcPr>
          <w:p w:rsidR="00D1648B" w:rsidRDefault="00D1648B" w:rsidP="00D1648B">
            <w:r>
              <w:t>Web hosting &amp; Services</w:t>
            </w:r>
          </w:p>
        </w:tc>
        <w:tc>
          <w:tcPr>
            <w:tcW w:w="6797" w:type="dxa"/>
          </w:tcPr>
          <w:p w:rsidR="00D1648B" w:rsidRDefault="00D1648B" w:rsidP="00D1648B">
            <w:r>
              <w:t>Majority (80%) of data is hosted and stored in on premises servers and emissions from energy use are captured through building electricity usage. The remaining data is stored in the cloud. Investigations are underway with City of Melbourne IT team to determine how to accurately quantify energy use data from these solutions to determine if it represents material emissions.</w:t>
            </w:r>
          </w:p>
        </w:tc>
      </w:tr>
      <w:tr w:rsidR="00D1648B" w:rsidTr="00235B6A">
        <w:tc>
          <w:tcPr>
            <w:tcW w:w="2972" w:type="dxa"/>
          </w:tcPr>
          <w:p w:rsidR="00D1648B" w:rsidRDefault="00D1648B" w:rsidP="00235B6A">
            <w:r>
              <w:t>Catering</w:t>
            </w:r>
          </w:p>
        </w:tc>
        <w:tc>
          <w:tcPr>
            <w:tcW w:w="6797" w:type="dxa"/>
          </w:tcPr>
          <w:p w:rsidR="00D1648B" w:rsidRDefault="00D1648B" w:rsidP="00D1648B">
            <w:r>
              <w:t xml:space="preserve">Majority of Catering is undertaken through single contractor within the Melbourne town hall, emissions are included within energy use of the building. Catering at sites external to City of Melbourne are not quantified. </w:t>
            </w:r>
            <w:r>
              <w:lastRenderedPageBreak/>
              <w:t>Emissions are considered to be immaterial and covered through uplift factor.</w:t>
            </w:r>
          </w:p>
        </w:tc>
      </w:tr>
    </w:tbl>
    <w:p w:rsidR="00D1648B" w:rsidRDefault="00D1648B" w:rsidP="005B7ACA">
      <w:pPr>
        <w:rPr>
          <w:lang w:val="en-US"/>
        </w:rPr>
      </w:pPr>
    </w:p>
    <w:p w:rsidR="002B50EC" w:rsidRDefault="002B50EC" w:rsidP="002B50EC">
      <w:pPr>
        <w:spacing w:after="0" w:line="240" w:lineRule="auto"/>
        <w:sectPr w:rsidR="002B50EC" w:rsidSect="00EF11AE">
          <w:endnotePr>
            <w:numFmt w:val="decimal"/>
          </w:endnotePr>
          <w:pgSz w:w="11900" w:h="16840"/>
          <w:pgMar w:top="1418" w:right="987" w:bottom="1134" w:left="1134" w:header="709" w:footer="709" w:gutter="0"/>
          <w:cols w:space="708"/>
          <w:docGrid w:linePitch="360"/>
        </w:sectPr>
      </w:pPr>
    </w:p>
    <w:p w:rsidR="005B7ACA" w:rsidRPr="002B50EC" w:rsidRDefault="00D1648B" w:rsidP="002B50EC">
      <w:pPr>
        <w:pStyle w:val="Heading1"/>
        <w:rPr>
          <w:rFonts w:hint="eastAsia"/>
        </w:rPr>
      </w:pPr>
      <w:bookmarkStart w:id="72" w:name="_Toc158887385"/>
      <w:r>
        <w:lastRenderedPageBreak/>
        <w:t>Appendix D: Outside Emissions Boundary</w:t>
      </w:r>
      <w:bookmarkEnd w:id="72"/>
    </w:p>
    <w:p w:rsidR="00D1648B" w:rsidRPr="00D1648B" w:rsidRDefault="00D1648B" w:rsidP="00D1648B">
      <w:pPr>
        <w:pStyle w:val="Heading2"/>
        <w:rPr>
          <w:rFonts w:hint="eastAsia"/>
        </w:rPr>
      </w:pPr>
      <w:bookmarkStart w:id="73" w:name="_Toc158887386"/>
      <w:r w:rsidRPr="00D1648B">
        <w:t>Excluded emission sources</w:t>
      </w:r>
      <w:bookmarkEnd w:id="73"/>
    </w:p>
    <w:p w:rsidR="00D1648B" w:rsidRDefault="00D1648B" w:rsidP="00D1648B">
      <w:pPr>
        <w:rPr>
          <w:lang w:val="en-US"/>
        </w:rPr>
      </w:pPr>
      <w:r w:rsidRPr="00D1648B">
        <w:rPr>
          <w:lang w:val="en-US"/>
        </w:rPr>
        <w:t>The below emission sources have been assessed as not relevant to this or</w:t>
      </w:r>
      <w:r>
        <w:rPr>
          <w:lang w:val="en-US"/>
        </w:rPr>
        <w:t xml:space="preserve">ganisation’s operations and are </w:t>
      </w:r>
      <w:r w:rsidRPr="00D1648B">
        <w:rPr>
          <w:lang w:val="en-US"/>
        </w:rPr>
        <w:t>outside of its emissions boundary. These emissions are not part of the</w:t>
      </w:r>
      <w:r>
        <w:rPr>
          <w:lang w:val="en-US"/>
        </w:rPr>
        <w:t xml:space="preserve"> carbon neutral claim. Emission </w:t>
      </w:r>
      <w:r w:rsidRPr="00D1648B">
        <w:rPr>
          <w:lang w:val="en-US"/>
        </w:rPr>
        <w:t>sources considered for relevance must be included within the certification boundary if they meet two of the</w:t>
      </w:r>
      <w:r>
        <w:rPr>
          <w:lang w:val="en-US"/>
        </w:rPr>
        <w:t xml:space="preserve"> </w:t>
      </w:r>
      <w:r w:rsidRPr="00D1648B">
        <w:rPr>
          <w:lang w:val="en-US"/>
        </w:rPr>
        <w:t>five relevance criteria. Those which only meet one condition of the relevance test can be excluded from</w:t>
      </w:r>
      <w:r>
        <w:rPr>
          <w:lang w:val="en-US"/>
        </w:rPr>
        <w:t xml:space="preserve"> </w:t>
      </w:r>
      <w:r w:rsidRPr="00D1648B">
        <w:rPr>
          <w:lang w:val="en-US"/>
        </w:rPr>
        <w:t>the certification boundary.</w:t>
      </w:r>
    </w:p>
    <w:p w:rsidR="00D1648B" w:rsidRDefault="00D1648B" w:rsidP="00D1648B">
      <w:pPr>
        <w:rPr>
          <w:lang w:val="en-US"/>
        </w:rPr>
      </w:pPr>
      <w:r w:rsidRPr="00D1648B">
        <w:rPr>
          <w:lang w:val="en-US"/>
        </w:rPr>
        <w:t xml:space="preserve">Emissions tested for relevance are detailed below against </w:t>
      </w:r>
      <w:r>
        <w:rPr>
          <w:lang w:val="en-US"/>
        </w:rPr>
        <w:t>each of the following criteria:</w:t>
      </w:r>
    </w:p>
    <w:p w:rsidR="00D1648B" w:rsidRDefault="00D1648B" w:rsidP="00D1648B">
      <w:pPr>
        <w:pStyle w:val="ListNumber"/>
        <w:numPr>
          <w:ilvl w:val="0"/>
          <w:numId w:val="15"/>
        </w:numPr>
      </w:pPr>
      <w:r w:rsidRPr="00B5323C">
        <w:rPr>
          <w:rStyle w:val="BoldChar"/>
        </w:rPr>
        <w:t>Size</w:t>
      </w:r>
      <w:r>
        <w:rPr>
          <w:rStyle w:val="BoldChar"/>
        </w:rPr>
        <w:t>:</w:t>
      </w:r>
      <w:r>
        <w:t xml:space="preserve"> The emissions from a particular source are likely to be large relative to the organisation’s electricity, stationary energy and fuel emissions</w:t>
      </w:r>
      <w:r w:rsidR="00C87D88">
        <w:t>.</w:t>
      </w:r>
    </w:p>
    <w:p w:rsidR="00D1648B" w:rsidRDefault="00D1648B" w:rsidP="00D1648B">
      <w:pPr>
        <w:pStyle w:val="ListNumber"/>
      </w:pPr>
      <w:r w:rsidRPr="00B5323C">
        <w:rPr>
          <w:rStyle w:val="BoldChar"/>
        </w:rPr>
        <w:t>Influence</w:t>
      </w:r>
      <w:r>
        <w:rPr>
          <w:rStyle w:val="BoldChar"/>
        </w:rPr>
        <w:t>:</w:t>
      </w:r>
      <w:r>
        <w:t xml:space="preserve"> The responsible entity has the potential to influence the reduction of emissions from a particular source.</w:t>
      </w:r>
    </w:p>
    <w:p w:rsidR="00D1648B" w:rsidRDefault="00D1648B" w:rsidP="00D1648B">
      <w:pPr>
        <w:pStyle w:val="ListNumber"/>
      </w:pPr>
      <w:r w:rsidRPr="00B5323C">
        <w:rPr>
          <w:rStyle w:val="BoldChar"/>
        </w:rPr>
        <w:t>Risk</w:t>
      </w:r>
      <w:r>
        <w:rPr>
          <w:rStyle w:val="BoldChar"/>
        </w:rPr>
        <w:t>:</w:t>
      </w:r>
      <w:r>
        <w:t xml:space="preserve"> The emissions from a particular source contribute to the organisation’s greenhouse gas risk exposure.</w:t>
      </w:r>
    </w:p>
    <w:p w:rsidR="00D1648B" w:rsidRDefault="00D1648B" w:rsidP="00D1648B">
      <w:pPr>
        <w:pStyle w:val="ListNumber"/>
      </w:pPr>
      <w:r w:rsidRPr="00B5323C">
        <w:rPr>
          <w:rStyle w:val="BoldChar"/>
        </w:rPr>
        <w:t>Stakeholders</w:t>
      </w:r>
      <w:r>
        <w:rPr>
          <w:rStyle w:val="BoldChar"/>
        </w:rPr>
        <w:t>:</w:t>
      </w:r>
      <w:r>
        <w:t xml:space="preserve"> Key stakeholders deem the emissions from a particular source are relevant.</w:t>
      </w:r>
    </w:p>
    <w:p w:rsidR="00D1648B" w:rsidRDefault="00D1648B" w:rsidP="00D1648B">
      <w:pPr>
        <w:pStyle w:val="ListNumber"/>
        <w:spacing w:after="240"/>
      </w:pPr>
      <w:r w:rsidRPr="00B5323C">
        <w:rPr>
          <w:rStyle w:val="BoldChar"/>
        </w:rPr>
        <w:t>Outsourcing</w:t>
      </w:r>
      <w:r>
        <w:rPr>
          <w:rStyle w:val="BoldChar"/>
        </w:rPr>
        <w:t>:</w:t>
      </w:r>
      <w:r>
        <w:t xml:space="preserve"> The emissions are from outsourced activities previously undertaken within the organisation’s boundary, or from outsourced activities typically undertaken within the boundary for comparable organisations.</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68"/>
        <w:gridCol w:w="515"/>
        <w:gridCol w:w="993"/>
        <w:gridCol w:w="574"/>
        <w:gridCol w:w="1371"/>
        <w:gridCol w:w="1303"/>
        <w:gridCol w:w="7293"/>
      </w:tblGrid>
      <w:tr w:rsidR="002B50EC" w:rsidTr="002B50EC">
        <w:tc>
          <w:tcPr>
            <w:tcW w:w="2268"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rPr>
                <w:rFonts w:eastAsia="Cambria"/>
                <w:b/>
              </w:rPr>
            </w:pPr>
            <w:r>
              <w:rPr>
                <w:rFonts w:eastAsia="Cambria"/>
                <w:b/>
              </w:rPr>
              <w:t>Emission sources tested for relevance</w:t>
            </w:r>
          </w:p>
        </w:tc>
        <w:tc>
          <w:tcPr>
            <w:tcW w:w="515" w:type="dxa"/>
            <w:tcBorders>
              <w:top w:val="single" w:sz="4" w:space="0" w:color="auto"/>
              <w:left w:val="single" w:sz="4" w:space="0" w:color="auto"/>
              <w:bottom w:val="single" w:sz="4" w:space="0" w:color="auto"/>
              <w:right w:val="single" w:sz="4" w:space="0" w:color="auto"/>
            </w:tcBorders>
            <w:hideMark/>
          </w:tcPr>
          <w:p w:rsidR="002B50EC" w:rsidRDefault="002B50EC" w:rsidP="00D1648B">
            <w:pPr>
              <w:pStyle w:val="TableofFigures"/>
              <w:jc w:val="center"/>
              <w:rPr>
                <w:rFonts w:eastAsia="Cambria"/>
                <w:b/>
              </w:rPr>
            </w:pPr>
            <w:r>
              <w:rPr>
                <w:rFonts w:eastAsia="Cambria"/>
                <w:b/>
              </w:rPr>
              <w:t>Size</w:t>
            </w:r>
          </w:p>
        </w:tc>
        <w:tc>
          <w:tcPr>
            <w:tcW w:w="993" w:type="dxa"/>
            <w:tcBorders>
              <w:top w:val="single" w:sz="4" w:space="0" w:color="auto"/>
              <w:left w:val="single" w:sz="4" w:space="0" w:color="auto"/>
              <w:bottom w:val="single" w:sz="4" w:space="0" w:color="auto"/>
              <w:right w:val="single" w:sz="4" w:space="0" w:color="auto"/>
            </w:tcBorders>
            <w:hideMark/>
          </w:tcPr>
          <w:p w:rsidR="002B50EC" w:rsidRDefault="002B50EC" w:rsidP="00D1648B">
            <w:pPr>
              <w:pStyle w:val="TableofFigures"/>
              <w:jc w:val="center"/>
              <w:rPr>
                <w:rFonts w:eastAsia="Cambria"/>
                <w:b/>
              </w:rPr>
            </w:pPr>
            <w:r>
              <w:rPr>
                <w:rFonts w:eastAsia="Cambria"/>
                <w:b/>
              </w:rPr>
              <w:t>Influence</w:t>
            </w:r>
          </w:p>
        </w:tc>
        <w:tc>
          <w:tcPr>
            <w:tcW w:w="574"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b/>
              </w:rPr>
            </w:pPr>
            <w:r>
              <w:rPr>
                <w:rFonts w:eastAsia="Cambria"/>
                <w:b/>
              </w:rPr>
              <w:t>Risk</w:t>
            </w:r>
          </w:p>
        </w:tc>
        <w:tc>
          <w:tcPr>
            <w:tcW w:w="1371"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b/>
              </w:rPr>
            </w:pPr>
            <w:r>
              <w:rPr>
                <w:rFonts w:eastAsia="Cambria"/>
                <w:b/>
              </w:rPr>
              <w:t>Stakeholders</w:t>
            </w:r>
          </w:p>
        </w:tc>
        <w:tc>
          <w:tcPr>
            <w:tcW w:w="130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b/>
              </w:rPr>
            </w:pPr>
            <w:r>
              <w:rPr>
                <w:rFonts w:eastAsia="Cambria"/>
                <w:b/>
              </w:rPr>
              <w:t>Outsourcing</w:t>
            </w:r>
          </w:p>
        </w:tc>
        <w:tc>
          <w:tcPr>
            <w:tcW w:w="7293" w:type="dxa"/>
            <w:tcBorders>
              <w:top w:val="single" w:sz="4" w:space="0" w:color="auto"/>
              <w:left w:val="single" w:sz="4" w:space="0" w:color="auto"/>
              <w:bottom w:val="single" w:sz="4" w:space="0" w:color="auto"/>
              <w:right w:val="single" w:sz="4" w:space="0" w:color="auto"/>
            </w:tcBorders>
          </w:tcPr>
          <w:p w:rsidR="002B50EC" w:rsidRDefault="002B50EC" w:rsidP="00235B6A">
            <w:pPr>
              <w:pStyle w:val="TableofFigures"/>
              <w:jc w:val="center"/>
              <w:rPr>
                <w:rFonts w:eastAsia="Cambria"/>
                <w:b/>
              </w:rPr>
            </w:pPr>
            <w:r>
              <w:rPr>
                <w:rFonts w:eastAsia="Cambria"/>
                <w:b/>
              </w:rPr>
              <w:t>Justification</w:t>
            </w:r>
          </w:p>
        </w:tc>
      </w:tr>
      <w:tr w:rsidR="002B50EC" w:rsidTr="002B50EC">
        <w:tc>
          <w:tcPr>
            <w:tcW w:w="2268" w:type="dxa"/>
            <w:tcBorders>
              <w:top w:val="single" w:sz="4" w:space="0" w:color="auto"/>
              <w:left w:val="single" w:sz="4" w:space="0" w:color="auto"/>
              <w:bottom w:val="single" w:sz="4" w:space="0" w:color="auto"/>
              <w:right w:val="single" w:sz="4" w:space="0" w:color="auto"/>
            </w:tcBorders>
            <w:hideMark/>
          </w:tcPr>
          <w:p w:rsidR="002B50EC" w:rsidRDefault="002B50EC" w:rsidP="002B50EC">
            <w:pPr>
              <w:pStyle w:val="TableofFigures"/>
              <w:rPr>
                <w:rFonts w:eastAsia="Cambria"/>
              </w:rPr>
            </w:pPr>
            <w:r>
              <w:rPr>
                <w:rFonts w:eastAsia="Cambria"/>
              </w:rPr>
              <w:t>Citywide (non-CoM contract)</w:t>
            </w:r>
          </w:p>
        </w:tc>
        <w:tc>
          <w:tcPr>
            <w:tcW w:w="515"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Yes</w:t>
            </w:r>
          </w:p>
        </w:tc>
        <w:tc>
          <w:tcPr>
            <w:tcW w:w="99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574"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71"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0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7293" w:type="dxa"/>
            <w:tcBorders>
              <w:top w:val="single" w:sz="4" w:space="0" w:color="auto"/>
              <w:left w:val="single" w:sz="4" w:space="0" w:color="auto"/>
              <w:bottom w:val="single" w:sz="4" w:space="0" w:color="auto"/>
              <w:right w:val="single" w:sz="4" w:space="0" w:color="auto"/>
            </w:tcBorders>
          </w:tcPr>
          <w:p w:rsidR="002B50EC" w:rsidRDefault="002B50EC" w:rsidP="002B50EC">
            <w:pPr>
              <w:pStyle w:val="TableofFigures"/>
              <w:rPr>
                <w:rFonts w:eastAsia="Cambria"/>
              </w:rPr>
            </w:pPr>
            <w:r w:rsidRPr="002B50EC">
              <w:rPr>
                <w:rFonts w:eastAsia="Cambria"/>
                <w:b/>
              </w:rPr>
              <w:t>Size</w:t>
            </w:r>
            <w:r w:rsidRPr="002B50EC">
              <w:rPr>
                <w:rFonts w:eastAsia="Cambria"/>
              </w:rPr>
              <w:t>: Citywide is a wholly owned subsidiary that i</w:t>
            </w:r>
            <w:r>
              <w:rPr>
                <w:rFonts w:eastAsia="Cambria"/>
              </w:rPr>
              <w:t xml:space="preserve">s not under City of Melbourne’s </w:t>
            </w:r>
            <w:r w:rsidRPr="002B50EC">
              <w:rPr>
                <w:rFonts w:eastAsia="Cambria"/>
              </w:rPr>
              <w:t>operational control. Ci</w:t>
            </w:r>
            <w:r>
              <w:rPr>
                <w:rFonts w:eastAsia="Cambria"/>
              </w:rPr>
              <w:t xml:space="preserve">tywide emissions not associated with City of Melbourne </w:t>
            </w:r>
            <w:r w:rsidRPr="002B50EC">
              <w:rPr>
                <w:rFonts w:eastAsia="Cambria"/>
              </w:rPr>
              <w:t>usage have been excluded. City of Melbo</w:t>
            </w:r>
            <w:r>
              <w:rPr>
                <w:rFonts w:eastAsia="Cambria"/>
              </w:rPr>
              <w:t xml:space="preserve">urne includes 21% of Citywide’s </w:t>
            </w:r>
            <w:r w:rsidRPr="002B50EC">
              <w:rPr>
                <w:rFonts w:eastAsia="Cambria"/>
              </w:rPr>
              <w:t>emission</w:t>
            </w:r>
            <w:r>
              <w:rPr>
                <w:rFonts w:eastAsia="Cambria"/>
              </w:rPr>
              <w:t xml:space="preserve">s, as this is the proportion of </w:t>
            </w:r>
            <w:r w:rsidRPr="002B50EC">
              <w:rPr>
                <w:rFonts w:eastAsia="Cambria"/>
              </w:rPr>
              <w:t>Citywide’s revenue associated with service provision to City of in 2022-23. This is consistent with the method used for al</w:t>
            </w:r>
            <w:r>
              <w:rPr>
                <w:rFonts w:eastAsia="Cambria"/>
              </w:rPr>
              <w:t>l contractors.</w:t>
            </w:r>
          </w:p>
        </w:tc>
      </w:tr>
      <w:tr w:rsidR="002B50EC" w:rsidTr="002B50EC">
        <w:tc>
          <w:tcPr>
            <w:tcW w:w="2268"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rPr>
                <w:rFonts w:eastAsia="Cambria"/>
              </w:rPr>
            </w:pPr>
            <w:r>
              <w:t>Municipal waste disposal at third party facilities</w:t>
            </w:r>
          </w:p>
        </w:tc>
        <w:tc>
          <w:tcPr>
            <w:tcW w:w="515"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Yes</w:t>
            </w:r>
          </w:p>
        </w:tc>
        <w:tc>
          <w:tcPr>
            <w:tcW w:w="99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574"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71"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0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7293" w:type="dxa"/>
            <w:tcBorders>
              <w:top w:val="single" w:sz="4" w:space="0" w:color="auto"/>
              <w:left w:val="single" w:sz="4" w:space="0" w:color="auto"/>
              <w:bottom w:val="single" w:sz="4" w:space="0" w:color="auto"/>
              <w:right w:val="single" w:sz="4" w:space="0" w:color="auto"/>
            </w:tcBorders>
          </w:tcPr>
          <w:p w:rsidR="002B50EC" w:rsidRDefault="002B50EC" w:rsidP="002B50EC">
            <w:pPr>
              <w:pStyle w:val="TableofFigures"/>
              <w:rPr>
                <w:rFonts w:eastAsia="Cambria"/>
              </w:rPr>
            </w:pPr>
            <w:r w:rsidRPr="002B50EC">
              <w:rPr>
                <w:rFonts w:eastAsia="Cambria"/>
                <w:b/>
              </w:rPr>
              <w:t>Size</w:t>
            </w:r>
            <w:r w:rsidRPr="002B50EC">
              <w:rPr>
                <w:rFonts w:eastAsia="Cambria"/>
              </w:rPr>
              <w:t>: The City of Melbourne includes emissions associated with waste generated during the course of busine</w:t>
            </w:r>
            <w:r>
              <w:rPr>
                <w:rFonts w:eastAsia="Cambria"/>
              </w:rPr>
              <w:t xml:space="preserve">ss, i.e. within the operational </w:t>
            </w:r>
            <w:r w:rsidRPr="002B50EC">
              <w:rPr>
                <w:rFonts w:eastAsia="Cambria"/>
              </w:rPr>
              <w:t>control of the City. The emissions associated with waste generated by residents and businesses (municipal, commercial, industrial,</w:t>
            </w:r>
            <w:r>
              <w:rPr>
                <w:rFonts w:eastAsia="Cambria"/>
              </w:rPr>
              <w:t xml:space="preserve"> </w:t>
            </w:r>
            <w:r w:rsidRPr="002B50EC">
              <w:rPr>
                <w:rFonts w:eastAsia="Cambria"/>
              </w:rPr>
              <w:t>construction and demolition waste streams) have been excluded, as these waste streams are not under the City’s operational control.</w:t>
            </w:r>
          </w:p>
          <w:p w:rsidR="002B50EC" w:rsidRDefault="002B50EC" w:rsidP="002B50EC">
            <w:pPr>
              <w:pStyle w:val="TableofFigures"/>
              <w:rPr>
                <w:rFonts w:eastAsia="Cambria"/>
              </w:rPr>
            </w:pPr>
            <w:r w:rsidRPr="002B50EC">
              <w:rPr>
                <w:rFonts w:eastAsia="Cambria"/>
              </w:rPr>
              <w:lastRenderedPageBreak/>
              <w:t>However it should be noted the City collects and transports a portion of this waste, Waste collected during t</w:t>
            </w:r>
            <w:r>
              <w:rPr>
                <w:rFonts w:eastAsia="Cambria"/>
              </w:rPr>
              <w:t xml:space="preserve">he course of street cleaning is </w:t>
            </w:r>
            <w:r w:rsidRPr="002B50EC">
              <w:rPr>
                <w:rFonts w:eastAsia="Cambria"/>
              </w:rPr>
              <w:t>excluded, as the City has no operational control over this waste. However the emissions resultant from Citywide transporting this waste is</w:t>
            </w:r>
            <w:r>
              <w:rPr>
                <w:rFonts w:eastAsia="Cambria"/>
              </w:rPr>
              <w:t xml:space="preserve"> </w:t>
            </w:r>
            <w:r w:rsidRPr="002B50EC">
              <w:rPr>
                <w:rFonts w:eastAsia="Cambria"/>
              </w:rPr>
              <w:t>included in within our emissions.</w:t>
            </w:r>
          </w:p>
        </w:tc>
      </w:tr>
      <w:tr w:rsidR="002B50EC" w:rsidTr="002B50EC">
        <w:tc>
          <w:tcPr>
            <w:tcW w:w="2268"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rPr>
                <w:rFonts w:eastAsia="Cambria"/>
              </w:rPr>
            </w:pPr>
            <w:r>
              <w:lastRenderedPageBreak/>
              <w:t>Animal Management</w:t>
            </w:r>
          </w:p>
        </w:tc>
        <w:tc>
          <w:tcPr>
            <w:tcW w:w="515"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99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574"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71"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0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7293" w:type="dxa"/>
            <w:tcBorders>
              <w:top w:val="single" w:sz="4" w:space="0" w:color="auto"/>
              <w:left w:val="single" w:sz="4" w:space="0" w:color="auto"/>
              <w:bottom w:val="single" w:sz="4" w:space="0" w:color="auto"/>
              <w:right w:val="single" w:sz="4" w:space="0" w:color="auto"/>
            </w:tcBorders>
          </w:tcPr>
          <w:p w:rsidR="002B50EC" w:rsidRDefault="002B50EC" w:rsidP="002B50EC">
            <w:pPr>
              <w:pStyle w:val="TableofFigures"/>
              <w:rPr>
                <w:rFonts w:eastAsia="Cambria"/>
              </w:rPr>
            </w:pPr>
            <w:r w:rsidRPr="002B50EC">
              <w:rPr>
                <w:rFonts w:eastAsia="Cambria"/>
                <w:b/>
              </w:rPr>
              <w:t>Size</w:t>
            </w:r>
            <w:r w:rsidRPr="002B50EC">
              <w:rPr>
                <w:rFonts w:eastAsia="Cambria"/>
              </w:rPr>
              <w:t>: Animal management is primarily serviced in-house by City of Melbourne staff and the fuel used is included in the corporate fleet</w:t>
            </w:r>
            <w:r>
              <w:rPr>
                <w:rFonts w:eastAsia="Cambria"/>
              </w:rPr>
              <w:t xml:space="preserve"> </w:t>
            </w:r>
            <w:r w:rsidRPr="002B50EC">
              <w:rPr>
                <w:rFonts w:eastAsia="Cambria"/>
              </w:rPr>
              <w:t>emissions source. There are instances where the collection of animals is undertaken by the RSPCA but these are considered insignificant</w:t>
            </w:r>
            <w:r>
              <w:rPr>
                <w:rFonts w:eastAsia="Cambria"/>
              </w:rPr>
              <w:t xml:space="preserve"> </w:t>
            </w:r>
            <w:r w:rsidRPr="002B50EC">
              <w:rPr>
                <w:rFonts w:eastAsia="Cambria"/>
              </w:rPr>
              <w:t>(less than 10 pick-ups per month).</w:t>
            </w:r>
          </w:p>
        </w:tc>
      </w:tr>
      <w:tr w:rsidR="002B50EC" w:rsidTr="002B50EC">
        <w:tc>
          <w:tcPr>
            <w:tcW w:w="2268"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rPr>
                <w:rFonts w:eastAsia="Cambria"/>
              </w:rPr>
            </w:pPr>
            <w:r>
              <w:rPr>
                <w:rFonts w:eastAsia="Cambria"/>
              </w:rPr>
              <w:t>Upstream transportation and distribution</w:t>
            </w:r>
          </w:p>
        </w:tc>
        <w:tc>
          <w:tcPr>
            <w:tcW w:w="515"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99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574"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71"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0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Yes</w:t>
            </w:r>
          </w:p>
        </w:tc>
        <w:tc>
          <w:tcPr>
            <w:tcW w:w="7293" w:type="dxa"/>
            <w:tcBorders>
              <w:top w:val="single" w:sz="4" w:space="0" w:color="auto"/>
              <w:left w:val="single" w:sz="4" w:space="0" w:color="auto"/>
              <w:bottom w:val="single" w:sz="4" w:space="0" w:color="auto"/>
              <w:right w:val="single" w:sz="4" w:space="0" w:color="auto"/>
            </w:tcBorders>
          </w:tcPr>
          <w:p w:rsidR="002B50EC" w:rsidRDefault="002B50EC" w:rsidP="002B50EC">
            <w:pPr>
              <w:pStyle w:val="TableofFigures"/>
              <w:rPr>
                <w:rFonts w:eastAsia="Cambria"/>
              </w:rPr>
            </w:pPr>
            <w:r w:rsidRPr="002B50EC">
              <w:rPr>
                <w:rFonts w:eastAsia="Cambria"/>
                <w:b/>
              </w:rPr>
              <w:t>Outsourcing</w:t>
            </w:r>
            <w:r w:rsidRPr="002B50EC">
              <w:rPr>
                <w:rFonts w:eastAsia="Cambria"/>
              </w:rPr>
              <w:t>: The City of Melbourne has included transportation and distribution of goods and services for seven emissions sources;</w:t>
            </w:r>
            <w:r>
              <w:rPr>
                <w:rFonts w:eastAsia="Cambria"/>
              </w:rPr>
              <w:t xml:space="preserve"> </w:t>
            </w:r>
            <w:r w:rsidRPr="002B50EC">
              <w:rPr>
                <w:rFonts w:eastAsia="Cambria"/>
              </w:rPr>
              <w:t>towing, parks and recreation, building and property maintenance, street cleaning, security services, coin collection and aged and disability</w:t>
            </w:r>
            <w:r>
              <w:rPr>
                <w:rFonts w:eastAsia="Cambria"/>
              </w:rPr>
              <w:t xml:space="preserve"> </w:t>
            </w:r>
            <w:r w:rsidRPr="002B50EC">
              <w:rPr>
                <w:rFonts w:eastAsia="Cambria"/>
              </w:rPr>
              <w:t>services. The remaining emissions sources with transportation and distribution have been excluded due to lack of reliable data from</w:t>
            </w:r>
            <w:r>
              <w:rPr>
                <w:rFonts w:eastAsia="Cambria"/>
              </w:rPr>
              <w:t xml:space="preserve"> </w:t>
            </w:r>
            <w:r w:rsidRPr="002B50EC">
              <w:rPr>
                <w:rFonts w:eastAsia="Cambria"/>
              </w:rPr>
              <w:t>suppliers. These include office paper, animal management, promotion and marketing, and civil design and traffic engineering.</w:t>
            </w:r>
          </w:p>
        </w:tc>
      </w:tr>
      <w:tr w:rsidR="002B50EC" w:rsidTr="002B50EC">
        <w:tc>
          <w:tcPr>
            <w:tcW w:w="2268"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rPr>
                <w:rFonts w:eastAsia="Cambria"/>
              </w:rPr>
            </w:pPr>
            <w:r>
              <w:rPr>
                <w:rFonts w:eastAsia="Cambria"/>
              </w:rPr>
              <w:t>Business travel (regional)</w:t>
            </w:r>
          </w:p>
        </w:tc>
        <w:tc>
          <w:tcPr>
            <w:tcW w:w="515"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99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574"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Yes</w:t>
            </w:r>
          </w:p>
        </w:tc>
        <w:tc>
          <w:tcPr>
            <w:tcW w:w="1371"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0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7293" w:type="dxa"/>
            <w:tcBorders>
              <w:top w:val="single" w:sz="4" w:space="0" w:color="auto"/>
              <w:left w:val="single" w:sz="4" w:space="0" w:color="auto"/>
              <w:bottom w:val="single" w:sz="4" w:space="0" w:color="auto"/>
              <w:right w:val="single" w:sz="4" w:space="0" w:color="auto"/>
            </w:tcBorders>
          </w:tcPr>
          <w:p w:rsidR="002B50EC" w:rsidRDefault="002B50EC" w:rsidP="002B50EC">
            <w:pPr>
              <w:pStyle w:val="TableofFigures"/>
              <w:rPr>
                <w:rFonts w:eastAsia="Cambria"/>
              </w:rPr>
            </w:pPr>
            <w:r w:rsidRPr="002B50EC">
              <w:rPr>
                <w:rFonts w:eastAsia="Cambria"/>
                <w:b/>
              </w:rPr>
              <w:t>Risk</w:t>
            </w:r>
            <w:r w:rsidRPr="002B50EC">
              <w:rPr>
                <w:rFonts w:eastAsia="Cambria"/>
              </w:rPr>
              <w:t>: The City of Melbourne currently includes metropolitan public transport use by staff, hire cars, taxis, flights and use of its own fleet.</w:t>
            </w:r>
            <w:r>
              <w:rPr>
                <w:rFonts w:eastAsia="Cambria"/>
              </w:rPr>
              <w:t xml:space="preserve"> </w:t>
            </w:r>
            <w:r w:rsidRPr="002B50EC">
              <w:rPr>
                <w:rFonts w:eastAsia="Cambria"/>
              </w:rPr>
              <w:t>Business travel undertaken by regional public transport or in employee vehicles are exclude</w:t>
            </w:r>
            <w:r>
              <w:rPr>
                <w:rFonts w:eastAsia="Cambria"/>
              </w:rPr>
              <w:t>d due to lack of reliable data.</w:t>
            </w:r>
          </w:p>
        </w:tc>
      </w:tr>
      <w:tr w:rsidR="002B50EC" w:rsidTr="002B50EC">
        <w:tc>
          <w:tcPr>
            <w:tcW w:w="2268"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rPr>
                <w:rFonts w:eastAsia="Cambria"/>
              </w:rPr>
            </w:pPr>
            <w:r>
              <w:rPr>
                <w:rFonts w:eastAsia="Cambria"/>
              </w:rPr>
              <w:t>Downstream transportation and distribution</w:t>
            </w:r>
          </w:p>
        </w:tc>
        <w:tc>
          <w:tcPr>
            <w:tcW w:w="515"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99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574"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71"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0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7293" w:type="dxa"/>
            <w:tcBorders>
              <w:top w:val="single" w:sz="4" w:space="0" w:color="auto"/>
              <w:left w:val="single" w:sz="4" w:space="0" w:color="auto"/>
              <w:bottom w:val="single" w:sz="4" w:space="0" w:color="auto"/>
              <w:right w:val="single" w:sz="4" w:space="0" w:color="auto"/>
            </w:tcBorders>
          </w:tcPr>
          <w:p w:rsidR="002B50EC" w:rsidRDefault="002B50EC" w:rsidP="002B50EC">
            <w:pPr>
              <w:pStyle w:val="TableofFigures"/>
              <w:rPr>
                <w:rFonts w:eastAsia="Cambria"/>
              </w:rPr>
            </w:pPr>
            <w:r w:rsidRPr="002B50EC">
              <w:rPr>
                <w:rFonts w:eastAsia="Cambria"/>
              </w:rPr>
              <w:t>The City of Melbourne does not sell products.</w:t>
            </w:r>
          </w:p>
        </w:tc>
      </w:tr>
      <w:tr w:rsidR="002B50EC" w:rsidTr="002B50EC">
        <w:tc>
          <w:tcPr>
            <w:tcW w:w="2268"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rPr>
                <w:rFonts w:eastAsia="Cambria"/>
              </w:rPr>
            </w:pPr>
            <w:r>
              <w:t>Processing, use &amp; end of life of sold products</w:t>
            </w:r>
          </w:p>
        </w:tc>
        <w:tc>
          <w:tcPr>
            <w:tcW w:w="515"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99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574"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71"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0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7293" w:type="dxa"/>
            <w:tcBorders>
              <w:top w:val="single" w:sz="4" w:space="0" w:color="auto"/>
              <w:left w:val="single" w:sz="4" w:space="0" w:color="auto"/>
              <w:bottom w:val="single" w:sz="4" w:space="0" w:color="auto"/>
              <w:right w:val="single" w:sz="4" w:space="0" w:color="auto"/>
            </w:tcBorders>
          </w:tcPr>
          <w:p w:rsidR="002B50EC" w:rsidRDefault="002B50EC" w:rsidP="002B50EC">
            <w:pPr>
              <w:pStyle w:val="TableofFigures"/>
              <w:rPr>
                <w:rFonts w:eastAsia="Cambria"/>
              </w:rPr>
            </w:pPr>
            <w:r w:rsidRPr="002B50EC">
              <w:rPr>
                <w:rFonts w:eastAsia="Cambria"/>
              </w:rPr>
              <w:t>The City of Melbourne does not sell products.</w:t>
            </w:r>
          </w:p>
        </w:tc>
      </w:tr>
      <w:tr w:rsidR="002B50EC" w:rsidTr="002B50EC">
        <w:tc>
          <w:tcPr>
            <w:tcW w:w="2268"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rPr>
                <w:rFonts w:eastAsia="Cambria"/>
              </w:rPr>
            </w:pPr>
            <w:r>
              <w:t>Capital goods</w:t>
            </w:r>
          </w:p>
        </w:tc>
        <w:tc>
          <w:tcPr>
            <w:tcW w:w="515"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99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Yes</w:t>
            </w:r>
          </w:p>
        </w:tc>
        <w:tc>
          <w:tcPr>
            <w:tcW w:w="574"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71"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0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7293" w:type="dxa"/>
            <w:tcBorders>
              <w:top w:val="single" w:sz="4" w:space="0" w:color="auto"/>
              <w:left w:val="single" w:sz="4" w:space="0" w:color="auto"/>
              <w:bottom w:val="single" w:sz="4" w:space="0" w:color="auto"/>
              <w:right w:val="single" w:sz="4" w:space="0" w:color="auto"/>
            </w:tcBorders>
          </w:tcPr>
          <w:p w:rsidR="002B50EC" w:rsidRDefault="002B50EC" w:rsidP="002B50EC">
            <w:pPr>
              <w:pStyle w:val="TableofFigures"/>
              <w:rPr>
                <w:rFonts w:eastAsia="Cambria"/>
              </w:rPr>
            </w:pPr>
            <w:r w:rsidRPr="002B50EC">
              <w:rPr>
                <w:rFonts w:eastAsia="Cambria"/>
                <w:b/>
              </w:rPr>
              <w:t>Influence</w:t>
            </w:r>
            <w:r w:rsidRPr="002B50EC">
              <w:rPr>
                <w:rFonts w:eastAsia="Cambria"/>
              </w:rPr>
              <w:t>: The City of Melbourne purchases and maintains capital goods to support the delivery of Council services. The operational</w:t>
            </w:r>
            <w:r>
              <w:rPr>
                <w:rFonts w:eastAsia="Cambria"/>
              </w:rPr>
              <w:t xml:space="preserve"> </w:t>
            </w:r>
            <w:r w:rsidRPr="002B50EC">
              <w:rPr>
                <w:rFonts w:eastAsia="Cambria"/>
              </w:rPr>
              <w:t>emissions from this equipment is included within the inventory (eg, emissions from gas from use in hot water units) however the embodied</w:t>
            </w:r>
            <w:r>
              <w:rPr>
                <w:rFonts w:eastAsia="Cambria"/>
              </w:rPr>
              <w:t xml:space="preserve"> </w:t>
            </w:r>
            <w:r w:rsidRPr="002B50EC">
              <w:rPr>
                <w:rFonts w:eastAsia="Cambria"/>
              </w:rPr>
              <w:t>emissions in the purchasing of these Capital goods themselves is excluded due to a lack of reliable methodology for equipment types.</w:t>
            </w:r>
          </w:p>
        </w:tc>
      </w:tr>
      <w:tr w:rsidR="002B50EC" w:rsidTr="002B50EC">
        <w:tc>
          <w:tcPr>
            <w:tcW w:w="2268"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rPr>
                <w:rFonts w:eastAsia="Cambria"/>
              </w:rPr>
            </w:pPr>
            <w:r>
              <w:t>Investments</w:t>
            </w:r>
          </w:p>
        </w:tc>
        <w:tc>
          <w:tcPr>
            <w:tcW w:w="515"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99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574"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71"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0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7293" w:type="dxa"/>
            <w:tcBorders>
              <w:top w:val="single" w:sz="4" w:space="0" w:color="auto"/>
              <w:left w:val="single" w:sz="4" w:space="0" w:color="auto"/>
              <w:bottom w:val="single" w:sz="4" w:space="0" w:color="auto"/>
              <w:right w:val="single" w:sz="4" w:space="0" w:color="auto"/>
            </w:tcBorders>
          </w:tcPr>
          <w:p w:rsidR="002B50EC" w:rsidRDefault="002B50EC" w:rsidP="002B50EC">
            <w:pPr>
              <w:pStyle w:val="TableofFigures"/>
              <w:rPr>
                <w:rFonts w:eastAsia="Cambria"/>
              </w:rPr>
            </w:pPr>
            <w:r w:rsidRPr="002B50EC">
              <w:rPr>
                <w:rFonts w:eastAsia="Cambria"/>
              </w:rPr>
              <w:t>Council holds no financial investments (as defined under the Greenhouse Gas Protocol – Corporate Value Chain (Scope 3) Accounting and</w:t>
            </w:r>
            <w:r>
              <w:rPr>
                <w:rFonts w:eastAsia="Cambria"/>
              </w:rPr>
              <w:t xml:space="preserve"> </w:t>
            </w:r>
            <w:r w:rsidRPr="002B50EC">
              <w:rPr>
                <w:rFonts w:eastAsia="Cambria"/>
              </w:rPr>
              <w:t xml:space="preserve">Reporting Standard) as its investments are held in term deposits with no link to any specific </w:t>
            </w:r>
            <w:r w:rsidRPr="002B50EC">
              <w:rPr>
                <w:rFonts w:eastAsia="Cambria"/>
              </w:rPr>
              <w:lastRenderedPageBreak/>
              <w:t>products or services. Council have limited</w:t>
            </w:r>
            <w:r>
              <w:rPr>
                <w:rFonts w:eastAsia="Cambria"/>
              </w:rPr>
              <w:t xml:space="preserve"> </w:t>
            </w:r>
            <w:r w:rsidRPr="002B50EC">
              <w:rPr>
                <w:rFonts w:eastAsia="Cambria"/>
              </w:rPr>
              <w:t>resources to collect this information. Implication for the footprint considered to be immaterial.</w:t>
            </w:r>
          </w:p>
        </w:tc>
      </w:tr>
      <w:tr w:rsidR="002B50EC" w:rsidTr="002B50EC">
        <w:tc>
          <w:tcPr>
            <w:tcW w:w="2268" w:type="dxa"/>
            <w:tcBorders>
              <w:top w:val="single" w:sz="4" w:space="0" w:color="auto"/>
              <w:left w:val="single" w:sz="4" w:space="0" w:color="auto"/>
              <w:bottom w:val="single" w:sz="4" w:space="0" w:color="auto"/>
              <w:right w:val="single" w:sz="4" w:space="0" w:color="auto"/>
            </w:tcBorders>
            <w:hideMark/>
          </w:tcPr>
          <w:p w:rsidR="002B50EC" w:rsidRDefault="002B50EC" w:rsidP="002B50EC">
            <w:pPr>
              <w:pStyle w:val="TableofFigures"/>
              <w:rPr>
                <w:rFonts w:eastAsia="Cambria"/>
              </w:rPr>
            </w:pPr>
            <w:r>
              <w:lastRenderedPageBreak/>
              <w:t>Community emissions</w:t>
            </w:r>
          </w:p>
        </w:tc>
        <w:tc>
          <w:tcPr>
            <w:tcW w:w="515"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Yes</w:t>
            </w:r>
          </w:p>
        </w:tc>
        <w:tc>
          <w:tcPr>
            <w:tcW w:w="99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574"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71"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1303" w:type="dxa"/>
            <w:tcBorders>
              <w:top w:val="single" w:sz="4" w:space="0" w:color="auto"/>
              <w:left w:val="single" w:sz="4" w:space="0" w:color="auto"/>
              <w:bottom w:val="single" w:sz="4" w:space="0" w:color="auto"/>
              <w:right w:val="single" w:sz="4" w:space="0" w:color="auto"/>
            </w:tcBorders>
            <w:hideMark/>
          </w:tcPr>
          <w:p w:rsidR="002B50EC" w:rsidRDefault="002B50EC" w:rsidP="00235B6A">
            <w:pPr>
              <w:pStyle w:val="TableofFigures"/>
              <w:jc w:val="center"/>
              <w:rPr>
                <w:rFonts w:eastAsia="Cambria"/>
              </w:rPr>
            </w:pPr>
            <w:r>
              <w:rPr>
                <w:rFonts w:eastAsia="Cambria"/>
              </w:rPr>
              <w:t>No</w:t>
            </w:r>
          </w:p>
        </w:tc>
        <w:tc>
          <w:tcPr>
            <w:tcW w:w="7293" w:type="dxa"/>
            <w:tcBorders>
              <w:top w:val="single" w:sz="4" w:space="0" w:color="auto"/>
              <w:left w:val="single" w:sz="4" w:space="0" w:color="auto"/>
              <w:bottom w:val="single" w:sz="4" w:space="0" w:color="auto"/>
              <w:right w:val="single" w:sz="4" w:space="0" w:color="auto"/>
            </w:tcBorders>
          </w:tcPr>
          <w:p w:rsidR="002B50EC" w:rsidRDefault="002B50EC" w:rsidP="002B50EC">
            <w:pPr>
              <w:pStyle w:val="TableofFigures"/>
              <w:rPr>
                <w:rFonts w:eastAsia="Cambria"/>
              </w:rPr>
            </w:pPr>
            <w:r w:rsidRPr="002B50EC">
              <w:rPr>
                <w:rFonts w:eastAsia="Cambria"/>
              </w:rPr>
              <w:t>Size: Emissions that are resultant from activity within the broader municipality of the City of Melbourne but are not the result of activity of the</w:t>
            </w:r>
            <w:r>
              <w:rPr>
                <w:rFonts w:eastAsia="Cambria"/>
              </w:rPr>
              <w:t xml:space="preserve"> </w:t>
            </w:r>
            <w:r w:rsidRPr="002B50EC">
              <w:rPr>
                <w:rFonts w:eastAsia="Cambria"/>
              </w:rPr>
              <w:t>City of Melbourne operations are excluded. The City of Melbourne reports on these through a separate reporting framework using the GHG</w:t>
            </w:r>
            <w:r>
              <w:rPr>
                <w:rFonts w:eastAsia="Cambria"/>
              </w:rPr>
              <w:t xml:space="preserve"> </w:t>
            </w:r>
            <w:r w:rsidRPr="002B50EC">
              <w:rPr>
                <w:rFonts w:eastAsia="Cambria"/>
              </w:rPr>
              <w:t>Protocol standard developed by C40.</w:t>
            </w:r>
          </w:p>
        </w:tc>
      </w:tr>
    </w:tbl>
    <w:p w:rsidR="002B50EC" w:rsidRDefault="002B50EC" w:rsidP="00D1648B">
      <w:pPr>
        <w:rPr>
          <w:lang w:val="en-US"/>
        </w:rPr>
        <w:sectPr w:rsidR="002B50EC" w:rsidSect="002B50EC">
          <w:endnotePr>
            <w:numFmt w:val="decimal"/>
          </w:endnotePr>
          <w:pgSz w:w="16840" w:h="11900" w:orient="landscape"/>
          <w:pgMar w:top="1134" w:right="1418" w:bottom="987" w:left="1134" w:header="709" w:footer="709" w:gutter="0"/>
          <w:cols w:space="708"/>
          <w:docGrid w:linePitch="360"/>
        </w:sectPr>
      </w:pPr>
    </w:p>
    <w:p w:rsidR="00D1648B" w:rsidRPr="00D1648B" w:rsidRDefault="00D1648B" w:rsidP="00D1648B">
      <w:pPr>
        <w:rPr>
          <w:lang w:val="en-US"/>
        </w:rPr>
      </w:pPr>
    </w:p>
    <w:sectPr w:rsidR="00D1648B" w:rsidRPr="00D1648B"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6A" w:rsidRDefault="00235B6A" w:rsidP="00BC719D">
      <w:pPr>
        <w:spacing w:after="0"/>
      </w:pPr>
      <w:r>
        <w:separator/>
      </w:r>
    </w:p>
  </w:endnote>
  <w:endnote w:type="continuationSeparator" w:id="0">
    <w:p w:rsidR="00235B6A" w:rsidRDefault="00235B6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30" w:rsidRDefault="005F6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30" w:rsidRDefault="005F6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30" w:rsidRDefault="005F6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6A" w:rsidRDefault="00235B6A" w:rsidP="00577A39">
      <w:pPr>
        <w:spacing w:after="40" w:line="240" w:lineRule="auto"/>
      </w:pPr>
      <w:r>
        <w:separator/>
      </w:r>
    </w:p>
  </w:footnote>
  <w:footnote w:type="continuationSeparator" w:id="0">
    <w:p w:rsidR="00235B6A" w:rsidRDefault="00235B6A" w:rsidP="00EA2130">
      <w:r>
        <w:continuationSeparator/>
      </w:r>
    </w:p>
  </w:footnote>
  <w:footnote w:id="1">
    <w:p w:rsidR="00235B6A" w:rsidRDefault="00235B6A">
      <w:pPr>
        <w:pStyle w:val="FootnoteText"/>
      </w:pPr>
      <w:r>
        <w:rPr>
          <w:rStyle w:val="FootnoteReference"/>
        </w:rPr>
        <w:footnoteRef/>
      </w:r>
      <w:r>
        <w:t xml:space="preserve"> </w:t>
      </w:r>
      <w:r w:rsidRPr="005245FE">
        <w:t>https://www.melbourne.vic.gov.au/about-council/vision-goals/eco-city/Pages/emissions-reduction-plan.aspx</w:t>
      </w:r>
    </w:p>
  </w:footnote>
  <w:footnote w:id="2">
    <w:p w:rsidR="00235B6A" w:rsidRDefault="00235B6A">
      <w:pPr>
        <w:pStyle w:val="FootnoteText"/>
      </w:pPr>
      <w:r>
        <w:rPr>
          <w:rStyle w:val="FootnoteReference"/>
        </w:rPr>
        <w:footnoteRef/>
      </w:r>
      <w:r>
        <w:t xml:space="preserve"> </w:t>
      </w:r>
      <w:r w:rsidRPr="00514C8A">
        <w:t>https://www.melbourne.vic.gov.au/SiteCollectionDocuments/emissions-reduction-plan-2021-26.pdf</w:t>
      </w:r>
    </w:p>
  </w:footnote>
  <w:footnote w:id="3">
    <w:p w:rsidR="00235B6A" w:rsidRDefault="00235B6A">
      <w:pPr>
        <w:pStyle w:val="FootnoteText"/>
      </w:pPr>
      <w:r>
        <w:rPr>
          <w:rStyle w:val="FootnoteReference"/>
        </w:rPr>
        <w:footnoteRef/>
      </w:r>
      <w:r>
        <w:t xml:space="preserve"> </w:t>
      </w:r>
      <w:r w:rsidRPr="0047796E">
        <w:t>https://www.melbourne.vic.gov.au/news-and-media/Pages/Solar-to-cut-carbon-and-costs-at-Queen-Victoria-Market-.aspx</w:t>
      </w:r>
    </w:p>
  </w:footnote>
  <w:footnote w:id="4">
    <w:p w:rsidR="00235B6A" w:rsidRDefault="00235B6A" w:rsidP="004E4A3F">
      <w:pPr>
        <w:pStyle w:val="FootnoteText"/>
      </w:pPr>
      <w:r>
        <w:rPr>
          <w:rStyle w:val="FootnoteReference"/>
        </w:rPr>
        <w:footnoteRef/>
      </w:r>
      <w:r>
        <w:t xml:space="preserve"> </w:t>
      </w:r>
      <w:r w:rsidRPr="005A14E6">
        <w:t>https://registry.verra.org/myModule/rpt/myrpt.asp?r=206&amp;h=140314</w:t>
      </w:r>
    </w:p>
  </w:footnote>
  <w:footnote w:id="5">
    <w:p w:rsidR="00235B6A" w:rsidRDefault="00235B6A" w:rsidP="008A277C">
      <w:pPr>
        <w:pStyle w:val="FootnoteText"/>
      </w:pPr>
      <w:r>
        <w:rPr>
          <w:rStyle w:val="FootnoteReference"/>
        </w:rPr>
        <w:footnoteRef/>
      </w:r>
      <w:r>
        <w:t xml:space="preserve"> </w:t>
      </w:r>
      <w:r w:rsidRPr="008A277C">
        <w:t>https://registry.verra.org/myModule/rpt/myrpt.asp?r=206&amp;h=218440</w:t>
      </w:r>
    </w:p>
  </w:footnote>
  <w:footnote w:id="6">
    <w:p w:rsidR="00235B6A" w:rsidRDefault="00235B6A" w:rsidP="008A277C">
      <w:pPr>
        <w:pStyle w:val="FootnoteText"/>
      </w:pPr>
      <w:r>
        <w:rPr>
          <w:rStyle w:val="FootnoteReference"/>
        </w:rPr>
        <w:footnoteRef/>
      </w:r>
      <w:r>
        <w:t xml:space="preserve"> </w:t>
      </w:r>
      <w:r w:rsidRPr="008A277C">
        <w:t>https://registry.verra.org/myModule/rpt/myrpt.asp?r=206&amp;h=218552</w:t>
      </w:r>
    </w:p>
  </w:footnote>
  <w:footnote w:id="7">
    <w:p w:rsidR="00235B6A" w:rsidRDefault="00235B6A">
      <w:pPr>
        <w:pStyle w:val="FootnoteText"/>
      </w:pPr>
      <w:r>
        <w:rPr>
          <w:rStyle w:val="FootnoteReference"/>
        </w:rPr>
        <w:footnoteRef/>
      </w:r>
      <w:r>
        <w:t xml:space="preserve"> </w:t>
      </w:r>
      <w:r w:rsidRPr="008A277C">
        <w:t>https://registry.verra.org/myModule/rpt/myrpt.asp?r=206&amp;h=218552</w:t>
      </w:r>
    </w:p>
  </w:footnote>
  <w:footnote w:id="8">
    <w:p w:rsidR="00235B6A" w:rsidRDefault="00235B6A">
      <w:pPr>
        <w:pStyle w:val="FootnoteText"/>
      </w:pPr>
      <w:r>
        <w:rPr>
          <w:rStyle w:val="FootnoteReference"/>
        </w:rPr>
        <w:footnoteRef/>
      </w:r>
      <w:r>
        <w:t xml:space="preserve"> </w:t>
      </w:r>
      <w:r w:rsidRPr="008A277C">
        <w:t>https://registry.verra.org/myModule/rpt/myrpt.asp?r=206&amp;h=171209</w:t>
      </w:r>
    </w:p>
  </w:footnote>
  <w:footnote w:id="9">
    <w:p w:rsidR="00235B6A" w:rsidRDefault="00235B6A">
      <w:pPr>
        <w:pStyle w:val="FootnoteText"/>
      </w:pPr>
      <w:r>
        <w:rPr>
          <w:rStyle w:val="FootnoteReference"/>
        </w:rPr>
        <w:footnoteRef/>
      </w:r>
      <w:r>
        <w:t xml:space="preserve"> </w:t>
      </w:r>
      <w:r w:rsidRPr="008A277C">
        <w:t>https://registry.verra.org/myModule/rpt/myrpt.asp?r=206&amp;h=176968</w:t>
      </w:r>
    </w:p>
  </w:footnote>
  <w:footnote w:id="10">
    <w:p w:rsidR="00235B6A" w:rsidRDefault="00235B6A">
      <w:pPr>
        <w:pStyle w:val="FootnoteText"/>
      </w:pPr>
      <w:r>
        <w:rPr>
          <w:rStyle w:val="FootnoteReference"/>
        </w:rPr>
        <w:footnoteRef/>
      </w:r>
      <w:r>
        <w:t xml:space="preserve"> </w:t>
      </w:r>
      <w:r w:rsidRPr="00F73270">
        <w:t>https://www.melbourne.vic.gov.au/about-council/committees-meetings/Pages/committees-meetings.aspx</w:t>
      </w:r>
    </w:p>
  </w:footnote>
  <w:footnote w:id="11">
    <w:p w:rsidR="00235B6A" w:rsidRDefault="00235B6A">
      <w:pPr>
        <w:pStyle w:val="FootnoteText"/>
      </w:pPr>
      <w:r>
        <w:rPr>
          <w:rStyle w:val="FootnoteReference"/>
        </w:rPr>
        <w:footnoteRef/>
      </w:r>
      <w:r>
        <w:t xml:space="preserve"> </w:t>
      </w:r>
      <w:r w:rsidRPr="002D7EC5">
        <w:t>https://www.melbourne.vic.gov.au/about-council/vision-goals/eco-city/Pages/carbon-neutral-events.aspx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30" w:rsidRDefault="005F6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30" w:rsidRDefault="005F6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30" w:rsidRDefault="005F6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27699A"/>
    <w:multiLevelType w:val="hybridMultilevel"/>
    <w:tmpl w:val="242E7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3"/>
  </w:num>
  <w:num w:numId="19">
    <w:abstractNumId w:val="3"/>
  </w:num>
  <w:num w:numId="20">
    <w:abstractNumId w:val="3"/>
  </w:num>
  <w:num w:numId="21">
    <w:abstractNumId w:val="3"/>
  </w:num>
  <w:num w:numId="22">
    <w:abstractNumId w:val="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A5"/>
    <w:rsid w:val="00020B35"/>
    <w:rsid w:val="00022AB6"/>
    <w:rsid w:val="000437C5"/>
    <w:rsid w:val="000474AE"/>
    <w:rsid w:val="00071857"/>
    <w:rsid w:val="000A2BDA"/>
    <w:rsid w:val="000A48D5"/>
    <w:rsid w:val="000B5EAA"/>
    <w:rsid w:val="000F3535"/>
    <w:rsid w:val="00190B0E"/>
    <w:rsid w:val="001B51BF"/>
    <w:rsid w:val="001F46B4"/>
    <w:rsid w:val="001F554D"/>
    <w:rsid w:val="00235B6A"/>
    <w:rsid w:val="002436A6"/>
    <w:rsid w:val="002438B7"/>
    <w:rsid w:val="0024773F"/>
    <w:rsid w:val="002B50EC"/>
    <w:rsid w:val="002D630D"/>
    <w:rsid w:val="002D7EC5"/>
    <w:rsid w:val="002E4153"/>
    <w:rsid w:val="002F47B6"/>
    <w:rsid w:val="002F6A88"/>
    <w:rsid w:val="003132DA"/>
    <w:rsid w:val="00372B3D"/>
    <w:rsid w:val="00380F44"/>
    <w:rsid w:val="00392688"/>
    <w:rsid w:val="003D63A8"/>
    <w:rsid w:val="003E3A9F"/>
    <w:rsid w:val="00407429"/>
    <w:rsid w:val="00426584"/>
    <w:rsid w:val="00431D45"/>
    <w:rsid w:val="004564F4"/>
    <w:rsid w:val="00457042"/>
    <w:rsid w:val="004603A7"/>
    <w:rsid w:val="00476FCD"/>
    <w:rsid w:val="00477806"/>
    <w:rsid w:val="0047796E"/>
    <w:rsid w:val="004878DB"/>
    <w:rsid w:val="00493E0A"/>
    <w:rsid w:val="00494A2D"/>
    <w:rsid w:val="004A26E3"/>
    <w:rsid w:val="004D00DD"/>
    <w:rsid w:val="004D5CE6"/>
    <w:rsid w:val="004E1ECE"/>
    <w:rsid w:val="004E2E9B"/>
    <w:rsid w:val="004E4A3F"/>
    <w:rsid w:val="004F54F5"/>
    <w:rsid w:val="00514A24"/>
    <w:rsid w:val="00514C8A"/>
    <w:rsid w:val="005245FE"/>
    <w:rsid w:val="00535159"/>
    <w:rsid w:val="0053666A"/>
    <w:rsid w:val="00554908"/>
    <w:rsid w:val="005620A0"/>
    <w:rsid w:val="00562788"/>
    <w:rsid w:val="0056634E"/>
    <w:rsid w:val="0057264C"/>
    <w:rsid w:val="00577A39"/>
    <w:rsid w:val="005814F5"/>
    <w:rsid w:val="0058235F"/>
    <w:rsid w:val="005B7ACA"/>
    <w:rsid w:val="005D30BA"/>
    <w:rsid w:val="005F4391"/>
    <w:rsid w:val="005F6F30"/>
    <w:rsid w:val="00687D4A"/>
    <w:rsid w:val="006A2F63"/>
    <w:rsid w:val="006A3718"/>
    <w:rsid w:val="006C7F7B"/>
    <w:rsid w:val="006F0AF9"/>
    <w:rsid w:val="00703ED4"/>
    <w:rsid w:val="00712950"/>
    <w:rsid w:val="00715B3E"/>
    <w:rsid w:val="0073401D"/>
    <w:rsid w:val="007361D8"/>
    <w:rsid w:val="00737A99"/>
    <w:rsid w:val="00782E37"/>
    <w:rsid w:val="007844A5"/>
    <w:rsid w:val="007A0AA6"/>
    <w:rsid w:val="007E291E"/>
    <w:rsid w:val="007F0661"/>
    <w:rsid w:val="00802A52"/>
    <w:rsid w:val="00806F0F"/>
    <w:rsid w:val="00831224"/>
    <w:rsid w:val="00850D66"/>
    <w:rsid w:val="00855F84"/>
    <w:rsid w:val="00881C97"/>
    <w:rsid w:val="008A277C"/>
    <w:rsid w:val="008D2DDA"/>
    <w:rsid w:val="008E2476"/>
    <w:rsid w:val="009043FC"/>
    <w:rsid w:val="009050C6"/>
    <w:rsid w:val="0091365A"/>
    <w:rsid w:val="00920FD2"/>
    <w:rsid w:val="00955E32"/>
    <w:rsid w:val="0097181E"/>
    <w:rsid w:val="00990B3C"/>
    <w:rsid w:val="009D1FBA"/>
    <w:rsid w:val="009F4681"/>
    <w:rsid w:val="00A01D13"/>
    <w:rsid w:val="00A05200"/>
    <w:rsid w:val="00A121B3"/>
    <w:rsid w:val="00A51C2F"/>
    <w:rsid w:val="00A76E0E"/>
    <w:rsid w:val="00A8651A"/>
    <w:rsid w:val="00AA4303"/>
    <w:rsid w:val="00AB6132"/>
    <w:rsid w:val="00AC6B17"/>
    <w:rsid w:val="00AD2B6E"/>
    <w:rsid w:val="00AF02E0"/>
    <w:rsid w:val="00B152AF"/>
    <w:rsid w:val="00B53D5A"/>
    <w:rsid w:val="00B61F7F"/>
    <w:rsid w:val="00B93B1F"/>
    <w:rsid w:val="00BB6D16"/>
    <w:rsid w:val="00BC05BB"/>
    <w:rsid w:val="00BC4781"/>
    <w:rsid w:val="00BC5E8E"/>
    <w:rsid w:val="00BC64F9"/>
    <w:rsid w:val="00BC719D"/>
    <w:rsid w:val="00BE100F"/>
    <w:rsid w:val="00BE1269"/>
    <w:rsid w:val="00BE4B49"/>
    <w:rsid w:val="00BE6801"/>
    <w:rsid w:val="00C0291B"/>
    <w:rsid w:val="00C05740"/>
    <w:rsid w:val="00C07190"/>
    <w:rsid w:val="00C14F9F"/>
    <w:rsid w:val="00C2007C"/>
    <w:rsid w:val="00C37F6A"/>
    <w:rsid w:val="00C42412"/>
    <w:rsid w:val="00C50638"/>
    <w:rsid w:val="00C73DA2"/>
    <w:rsid w:val="00C77BE7"/>
    <w:rsid w:val="00C87D88"/>
    <w:rsid w:val="00CA3730"/>
    <w:rsid w:val="00CB6145"/>
    <w:rsid w:val="00CD382D"/>
    <w:rsid w:val="00D00427"/>
    <w:rsid w:val="00D02C4A"/>
    <w:rsid w:val="00D06CE6"/>
    <w:rsid w:val="00D1648B"/>
    <w:rsid w:val="00D77363"/>
    <w:rsid w:val="00E37646"/>
    <w:rsid w:val="00E4646D"/>
    <w:rsid w:val="00E5089C"/>
    <w:rsid w:val="00E70AB7"/>
    <w:rsid w:val="00E86DCD"/>
    <w:rsid w:val="00E94A1C"/>
    <w:rsid w:val="00EA2130"/>
    <w:rsid w:val="00EC4AF9"/>
    <w:rsid w:val="00ED7629"/>
    <w:rsid w:val="00EF11AE"/>
    <w:rsid w:val="00F03DF7"/>
    <w:rsid w:val="00F07FBE"/>
    <w:rsid w:val="00F24B46"/>
    <w:rsid w:val="00F4048D"/>
    <w:rsid w:val="00F41FC6"/>
    <w:rsid w:val="00F61B69"/>
    <w:rsid w:val="00F63593"/>
    <w:rsid w:val="00F652C3"/>
    <w:rsid w:val="00F73270"/>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FollowedHyperlink">
    <w:name w:val="FollowedHyperlink"/>
    <w:basedOn w:val="DefaultParagraphFont"/>
    <w:semiHidden/>
    <w:unhideWhenUsed/>
    <w:rsid w:val="008A27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vic.gov.au/about-council/vision-goals/eco-city/Pages/emissions-reduction-plan.aspx" TargetMode="External"/><Relationship Id="rId13" Type="http://schemas.openxmlformats.org/officeDocument/2006/relationships/header" Target="header2.xml"/><Relationship Id="rId18" Type="http://schemas.openxmlformats.org/officeDocument/2006/relationships/hyperlink" Target="https://registry.verra.org/myModule/rpt/myrpt.asp?r=206&amp;h=1403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egistry.verra.org/myModule/rpt/myrpt.asp?r=206&amp;h=218552"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melbourne.vic.gov.au/about-council/vision-goals/eco-city/Pages/carbon-neutral-events.aspx"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registry.verra.org/myModule/rpt/myrpt.asp?r=206&amp;h=218552"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lbourne.vic.gov.au/news-and-media/Pages/Solar-to-cut-carbon-and-costs-at-Queen-Victoria-Market-.aspx" TargetMode="External"/><Relationship Id="rId24" Type="http://schemas.openxmlformats.org/officeDocument/2006/relationships/hyperlink" Target="https://www.melbourne.vic.gov.au/about-council/committees-meetings/Pages/committees-meetings.aspx"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registry.verra.org/myModule/rpt/myrpt.asp?r=206&amp;h=176968" TargetMode="External"/><Relationship Id="rId28" Type="http://schemas.openxmlformats.org/officeDocument/2006/relationships/customXml" Target="../customXml/item1.xml"/><Relationship Id="rId10" Type="http://schemas.openxmlformats.org/officeDocument/2006/relationships/hyperlink" Target="https://www.melbourne.vic.gov.au/SiteCollectionDocuments/emissions-reduction-plan-2021-26.pdf" TargetMode="External"/><Relationship Id="rId19" Type="http://schemas.openxmlformats.org/officeDocument/2006/relationships/hyperlink" Target="https://registry.verra.org/myModule/rpt/myrpt.asp?r=206&amp;h=2184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registry.verra.org/myModule/rpt/myrpt.asp?r=206&amp;h=171209"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775C4B35-A468-4BAA-B0C4-800B83694A4B}"/>
</file>

<file path=customXml/itemProps2.xml><?xml version="1.0" encoding="utf-8"?>
<ds:datastoreItem xmlns:ds="http://schemas.openxmlformats.org/officeDocument/2006/customXml" ds:itemID="{857DDE52-F439-4790-8920-735A6577C03E}"/>
</file>

<file path=customXml/itemProps3.xml><?xml version="1.0" encoding="utf-8"?>
<ds:datastoreItem xmlns:ds="http://schemas.openxmlformats.org/officeDocument/2006/customXml" ds:itemID="{EBAC60A8-B949-40DB-A36B-ED58442130E3}"/>
</file>

<file path=docProps/app.xml><?xml version="1.0" encoding="utf-8"?>
<Properties xmlns="http://schemas.openxmlformats.org/officeDocument/2006/extended-properties" xmlns:vt="http://schemas.openxmlformats.org/officeDocument/2006/docPropsVTypes">
  <Template>Normal.dotm</Template>
  <TotalTime>0</TotalTime>
  <Pages>34</Pages>
  <Words>6635</Words>
  <Characters>37824</Characters>
  <Application>Microsoft Office Word</Application>
  <DocSecurity>0</DocSecurity>
  <Lines>315</Lines>
  <Paragraphs>88</Paragraphs>
  <ScaleCrop>false</ScaleCrop>
  <LinksUpToDate>false</LinksUpToDate>
  <CharactersWithSpaces>44371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Active Public Disclosure Statement 2022-23</dc:title>
  <dc:subject/>
  <dc:creator/>
  <cp:keywords/>
  <cp:lastModifiedBy/>
  <cp:revision>1</cp:revision>
  <dcterms:created xsi:type="dcterms:W3CDTF">2024-03-03T23:41:00Z</dcterms:created>
  <dcterms:modified xsi:type="dcterms:W3CDTF">2024-03-03T23:42:00Z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eDOCS AutoSave">
    <vt:lpwstr/>
  </property>
</Properties>
</file>