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51E9" w14:textId="742E3D7C" w:rsidR="0051355B" w:rsidRDefault="0041790C" w:rsidP="0041790C">
      <w:pPr>
        <w:spacing w:line="240" w:lineRule="auto"/>
        <w:jc w:val="right"/>
      </w:pPr>
      <w:r>
        <w:rPr>
          <w:rFonts w:cs="Calibri"/>
          <w:i/>
          <w:noProof/>
          <w:sz w:val="22"/>
          <w:lang w:val="en-AU" w:eastAsia="en-AU"/>
        </w:rPr>
        <w:drawing>
          <wp:inline distT="0" distB="0" distL="0" distR="0" wp14:anchorId="46EEA7E3" wp14:editId="73A33776">
            <wp:extent cx="920563" cy="885825"/>
            <wp:effectExtent l="0" t="0" r="0" b="0"/>
            <wp:docPr id="10" name="Picture 10"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whe\AppData\Local\Microsoft\Windows\Temporary Internet Files\Content.Outlook\V3OPS4I2\CoM_Primary_Soli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563" cy="885825"/>
                    </a:xfrm>
                    <a:prstGeom prst="rect">
                      <a:avLst/>
                    </a:prstGeom>
                    <a:noFill/>
                    <a:ln>
                      <a:noFill/>
                    </a:ln>
                  </pic:spPr>
                </pic:pic>
              </a:graphicData>
            </a:graphic>
          </wp:inline>
        </w:drawing>
      </w:r>
      <w:r>
        <w:t xml:space="preserve"> </w:t>
      </w:r>
      <w:r w:rsidRPr="001244B0">
        <w:rPr>
          <w:i/>
          <w:noProof/>
          <w:lang w:val="en-AU" w:eastAsia="en-AU"/>
        </w:rPr>
        <w:drawing>
          <wp:inline distT="0" distB="0" distL="0" distR="0" wp14:anchorId="0DF9267C" wp14:editId="451B5F8F">
            <wp:extent cx="1640205" cy="778510"/>
            <wp:effectExtent l="0" t="0" r="0" b="2540"/>
            <wp:docPr id="394" name="Picture 394" descr="An Australian Government Initiative. National Carbon. Offset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78510"/>
                    </a:xfrm>
                    <a:prstGeom prst="rect">
                      <a:avLst/>
                    </a:prstGeom>
                    <a:noFill/>
                  </pic:spPr>
                </pic:pic>
              </a:graphicData>
            </a:graphic>
          </wp:inline>
        </w:drawing>
      </w:r>
    </w:p>
    <w:p w14:paraId="7F39582E" w14:textId="566F6EE0" w:rsidR="0041790C" w:rsidRDefault="0041790C" w:rsidP="0041790C">
      <w:pPr>
        <w:pStyle w:val="Heading1"/>
      </w:pPr>
      <w:bookmarkStart w:id="0" w:name="_Toc14679639"/>
      <w:r>
        <w:t>National Carbon Offset Standard for Events</w:t>
      </w:r>
      <w:bookmarkEnd w:id="0"/>
    </w:p>
    <w:p w14:paraId="0BFD6257" w14:textId="786CCA7C" w:rsidR="0041790C" w:rsidRPr="0041790C" w:rsidRDefault="0041790C" w:rsidP="000F5BEB">
      <w:pPr>
        <w:pStyle w:val="Heading2"/>
        <w:numPr>
          <w:ilvl w:val="0"/>
          <w:numId w:val="0"/>
        </w:numPr>
        <w:spacing w:before="0" w:after="360"/>
        <w:ind w:left="567" w:hanging="567"/>
        <w:rPr>
          <w:rFonts w:ascii="Arial" w:hAnsi="Arial" w:cs="Arial"/>
          <w:sz w:val="44"/>
          <w:szCs w:val="44"/>
        </w:rPr>
      </w:pPr>
      <w:bookmarkStart w:id="1" w:name="_Toc14679640"/>
      <w:r w:rsidRPr="0041790C">
        <w:rPr>
          <w:rFonts w:ascii="Arial" w:hAnsi="Arial" w:cs="Arial"/>
          <w:sz w:val="44"/>
          <w:szCs w:val="44"/>
        </w:rPr>
        <w:t>Carbon Neutral Program</w:t>
      </w:r>
      <w:bookmarkEnd w:id="1"/>
    </w:p>
    <w:p w14:paraId="00A0FD06" w14:textId="3521585D" w:rsidR="0041790C" w:rsidRPr="0041790C" w:rsidRDefault="0041790C" w:rsidP="000F5BEB">
      <w:pPr>
        <w:pStyle w:val="Heading2"/>
        <w:numPr>
          <w:ilvl w:val="0"/>
          <w:numId w:val="0"/>
        </w:numPr>
        <w:spacing w:before="0" w:after="360"/>
        <w:ind w:left="567" w:hanging="567"/>
        <w:rPr>
          <w:rFonts w:ascii="Arial" w:hAnsi="Arial" w:cs="Arial"/>
          <w:sz w:val="44"/>
          <w:szCs w:val="44"/>
        </w:rPr>
      </w:pPr>
      <w:bookmarkStart w:id="2" w:name="_Toc14679641"/>
      <w:r w:rsidRPr="0041790C">
        <w:rPr>
          <w:rFonts w:ascii="Arial" w:hAnsi="Arial" w:cs="Arial"/>
          <w:sz w:val="44"/>
          <w:szCs w:val="44"/>
        </w:rPr>
        <w:t>Post Event Public Disclosure Summary</w:t>
      </w:r>
      <w:bookmarkEnd w:id="2"/>
    </w:p>
    <w:p w14:paraId="6E13CBA3" w14:textId="1414F159" w:rsidR="0041790C" w:rsidRPr="0041790C" w:rsidRDefault="0041790C" w:rsidP="0041790C">
      <w:pPr>
        <w:rPr>
          <w:sz w:val="36"/>
          <w:szCs w:val="36"/>
        </w:rPr>
      </w:pPr>
      <w:r w:rsidRPr="0041790C">
        <w:rPr>
          <w:sz w:val="36"/>
          <w:szCs w:val="36"/>
        </w:rPr>
        <w:t>R</w:t>
      </w:r>
      <w:r>
        <w:rPr>
          <w:sz w:val="36"/>
          <w:szCs w:val="36"/>
        </w:rPr>
        <w:t>esponsibility Name</w:t>
      </w:r>
      <w:r w:rsidRPr="0041790C">
        <w:rPr>
          <w:sz w:val="36"/>
          <w:szCs w:val="36"/>
        </w:rPr>
        <w:t xml:space="preserve">: City of Melbourne </w:t>
      </w:r>
    </w:p>
    <w:p w14:paraId="087822C1" w14:textId="4D4BAD26" w:rsidR="0041790C" w:rsidRPr="0041790C" w:rsidRDefault="0041790C" w:rsidP="0041790C">
      <w:pPr>
        <w:rPr>
          <w:sz w:val="36"/>
          <w:szCs w:val="36"/>
        </w:rPr>
      </w:pPr>
      <w:r>
        <w:rPr>
          <w:sz w:val="36"/>
          <w:szCs w:val="36"/>
        </w:rPr>
        <w:t>Event Name</w:t>
      </w:r>
      <w:r w:rsidRPr="0041790C">
        <w:rPr>
          <w:sz w:val="36"/>
          <w:szCs w:val="36"/>
        </w:rPr>
        <w:t xml:space="preserve">: City of Melbourne 2018 Large Event Portfolio including – </w:t>
      </w:r>
    </w:p>
    <w:p w14:paraId="03DA0761" w14:textId="77777777" w:rsidR="0041790C" w:rsidRPr="00CE658E" w:rsidRDefault="0041790C" w:rsidP="008470AE">
      <w:pPr>
        <w:pStyle w:val="ListBullet"/>
        <w:tabs>
          <w:tab w:val="clear" w:pos="360"/>
          <w:tab w:val="left" w:pos="720"/>
        </w:tabs>
        <w:ind w:left="709" w:hanging="709"/>
        <w:rPr>
          <w:sz w:val="36"/>
          <w:szCs w:val="36"/>
        </w:rPr>
      </w:pPr>
      <w:r w:rsidRPr="00CE658E">
        <w:rPr>
          <w:sz w:val="36"/>
          <w:szCs w:val="36"/>
        </w:rPr>
        <w:t>Melbourne Fashion Week 2018</w:t>
      </w:r>
    </w:p>
    <w:p w14:paraId="5E59CFBB" w14:textId="77777777" w:rsidR="0041790C" w:rsidRPr="00CE658E" w:rsidRDefault="0041790C" w:rsidP="008470AE">
      <w:pPr>
        <w:pStyle w:val="ListBullet"/>
        <w:tabs>
          <w:tab w:val="clear" w:pos="360"/>
          <w:tab w:val="left" w:pos="720"/>
        </w:tabs>
        <w:ind w:left="709" w:hanging="709"/>
        <w:rPr>
          <w:sz w:val="36"/>
          <w:szCs w:val="36"/>
        </w:rPr>
      </w:pPr>
      <w:r w:rsidRPr="00CE658E">
        <w:rPr>
          <w:sz w:val="36"/>
          <w:szCs w:val="36"/>
        </w:rPr>
        <w:t>Melbourne Music Week 2018</w:t>
      </w:r>
    </w:p>
    <w:p w14:paraId="36831B51" w14:textId="3C6F15EC" w:rsidR="0041790C" w:rsidRPr="0041790C" w:rsidRDefault="00CE658E" w:rsidP="0041790C">
      <w:pPr>
        <w:rPr>
          <w:sz w:val="36"/>
          <w:szCs w:val="36"/>
        </w:rPr>
      </w:pPr>
      <w:r>
        <w:rPr>
          <w:sz w:val="36"/>
          <w:szCs w:val="36"/>
        </w:rPr>
        <w:t>Event Date</w:t>
      </w:r>
      <w:r w:rsidR="0041790C" w:rsidRPr="0041790C">
        <w:rPr>
          <w:sz w:val="36"/>
          <w:szCs w:val="36"/>
        </w:rPr>
        <w:t>:</w:t>
      </w:r>
      <w:r>
        <w:rPr>
          <w:sz w:val="36"/>
          <w:szCs w:val="36"/>
        </w:rPr>
        <w:t xml:space="preserve"> </w:t>
      </w:r>
      <w:r w:rsidR="0041790C" w:rsidRPr="0041790C">
        <w:rPr>
          <w:color w:val="000000" w:themeColor="text1"/>
          <w:sz w:val="36"/>
          <w:szCs w:val="36"/>
        </w:rPr>
        <w:t>Certification Period July 2018 – July 2019</w:t>
      </w:r>
    </w:p>
    <w:p w14:paraId="5EBBB8DB" w14:textId="69352EDC" w:rsidR="0041790C" w:rsidRDefault="00CE658E" w:rsidP="0041790C">
      <w:pPr>
        <w:rPr>
          <w:sz w:val="36"/>
          <w:szCs w:val="36"/>
        </w:rPr>
      </w:pPr>
      <w:r>
        <w:rPr>
          <w:sz w:val="36"/>
          <w:szCs w:val="36"/>
        </w:rPr>
        <w:t>Event Type</w:t>
      </w:r>
      <w:r w:rsidR="0041790C" w:rsidRPr="0041790C">
        <w:rPr>
          <w:sz w:val="36"/>
          <w:szCs w:val="36"/>
        </w:rPr>
        <w:t>:</w:t>
      </w:r>
      <w:r>
        <w:rPr>
          <w:sz w:val="36"/>
          <w:szCs w:val="36"/>
        </w:rPr>
        <w:t xml:space="preserve"> </w:t>
      </w:r>
      <w:r w:rsidR="0041790C" w:rsidRPr="0041790C">
        <w:rPr>
          <w:sz w:val="36"/>
          <w:szCs w:val="36"/>
        </w:rPr>
        <w:t>Large Event Portfolio</w:t>
      </w:r>
    </w:p>
    <w:p w14:paraId="38539C97" w14:textId="7AAB318E" w:rsidR="00CE658E" w:rsidRDefault="00CE658E">
      <w:pPr>
        <w:spacing w:line="280" w:lineRule="exact"/>
        <w:rPr>
          <w:sz w:val="36"/>
          <w:szCs w:val="36"/>
        </w:rPr>
      </w:pPr>
      <w:r>
        <w:rPr>
          <w:sz w:val="36"/>
          <w:szCs w:val="36"/>
        </w:rPr>
        <w:br w:type="page"/>
      </w:r>
    </w:p>
    <w:p w14:paraId="14991996" w14:textId="13E4DFDC" w:rsidR="00CE658E" w:rsidRPr="0041790C" w:rsidRDefault="00CE658E" w:rsidP="000F5BEB">
      <w:pPr>
        <w:pStyle w:val="Heading2"/>
        <w:numPr>
          <w:ilvl w:val="0"/>
          <w:numId w:val="0"/>
        </w:numPr>
        <w:ind w:left="567" w:hanging="567"/>
      </w:pPr>
      <w:bookmarkStart w:id="3" w:name="_Toc14679642"/>
      <w:r>
        <w:lastRenderedPageBreak/>
        <w:t>Declaration</w:t>
      </w:r>
      <w:bookmarkEnd w:id="3"/>
    </w:p>
    <w:p w14:paraId="3D20118F" w14:textId="77777777" w:rsidR="00CE658E" w:rsidRPr="001244B0" w:rsidRDefault="00CE658E" w:rsidP="00CE658E">
      <w:r w:rsidRPr="001244B0">
        <w:t xml:space="preserve">To the best of my knowledge, the </w:t>
      </w:r>
      <w:r w:rsidRPr="001244B0">
        <w:rPr>
          <w:lang w:val="en-AU"/>
        </w:rPr>
        <w:t>information</w:t>
      </w:r>
      <w:r w:rsidRPr="001244B0">
        <w:t xml:space="preserve"> provided in this Public Disclosure Summary is true and correct and meets the requirements of the </w:t>
      </w:r>
      <w:r w:rsidRPr="001244B0">
        <w:rPr>
          <w:i/>
        </w:rPr>
        <w:t>National Carbon Offset Standard for Events</w:t>
      </w:r>
      <w:r w:rsidRPr="001244B0">
        <w:t>.</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565EE" w:rsidRPr="001244B0" w14:paraId="1C3C721F" w14:textId="77406C32" w:rsidTr="005565EE">
        <w:trPr>
          <w:cantSplit/>
          <w:trHeight w:val="340"/>
        </w:trPr>
        <w:tc>
          <w:tcPr>
            <w:tcW w:w="5000" w:type="pct"/>
          </w:tcPr>
          <w:p w14:paraId="7D83B1F9" w14:textId="0303B542" w:rsidR="005565EE" w:rsidRPr="001244B0" w:rsidRDefault="005565EE" w:rsidP="0016788B">
            <w:pPr>
              <w:rPr>
                <w:lang w:val="en-AU"/>
              </w:rPr>
            </w:pPr>
            <w:bookmarkStart w:id="4" w:name="RowTitle_Declaration_1"/>
            <w:r>
              <w:rPr>
                <w:rFonts w:asciiTheme="minorHAnsi" w:hAnsiTheme="minorHAnsi"/>
                <w:noProof/>
                <w:color w:val="000000" w:themeColor="text1"/>
                <w:lang w:val="en-AU" w:eastAsia="en-AU"/>
              </w:rPr>
              <w:drawing>
                <wp:inline distT="0" distB="0" distL="0" distR="0" wp14:anchorId="28877376" wp14:editId="6F65431E">
                  <wp:extent cx="1330036" cy="455918"/>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160" cy="455961"/>
                          </a:xfrm>
                          <a:prstGeom prst="rect">
                            <a:avLst/>
                          </a:prstGeom>
                          <a:noFill/>
                          <a:ln>
                            <a:noFill/>
                          </a:ln>
                        </pic:spPr>
                      </pic:pic>
                    </a:graphicData>
                  </a:graphic>
                </wp:inline>
              </w:drawing>
            </w:r>
          </w:p>
        </w:tc>
      </w:tr>
      <w:tr w:rsidR="005565EE" w:rsidRPr="001244B0" w14:paraId="17E54220" w14:textId="77777777" w:rsidTr="005565EE">
        <w:trPr>
          <w:cantSplit/>
          <w:trHeight w:val="340"/>
        </w:trPr>
        <w:tc>
          <w:tcPr>
            <w:tcW w:w="5000" w:type="pct"/>
          </w:tcPr>
          <w:p w14:paraId="4D502D43" w14:textId="15BE410C" w:rsidR="005565EE" w:rsidRPr="001244B0" w:rsidRDefault="005565EE" w:rsidP="0016788B">
            <w:pPr>
              <w:rPr>
                <w:lang w:val="en-AU"/>
              </w:rPr>
            </w:pPr>
            <w:r>
              <w:rPr>
                <w:b/>
                <w:bCs/>
                <w:lang w:val="en-AU"/>
              </w:rPr>
              <w:t>23/07/2019</w:t>
            </w:r>
          </w:p>
        </w:tc>
      </w:tr>
      <w:tr w:rsidR="005565EE" w:rsidRPr="001244B0" w14:paraId="5E702F75" w14:textId="404F8861" w:rsidTr="005565EE">
        <w:trPr>
          <w:cantSplit/>
          <w:trHeight w:val="340"/>
        </w:trPr>
        <w:tc>
          <w:tcPr>
            <w:tcW w:w="5000" w:type="pct"/>
          </w:tcPr>
          <w:p w14:paraId="462FD2DF" w14:textId="76A7CF81" w:rsidR="005565EE" w:rsidRPr="001244B0" w:rsidRDefault="005565EE" w:rsidP="0016788B">
            <w:pPr>
              <w:rPr>
                <w:lang w:val="en-AU"/>
              </w:rPr>
            </w:pPr>
            <w:r>
              <w:rPr>
                <w:b/>
                <w:bCs/>
                <w:lang w:val="en-AU"/>
              </w:rPr>
              <w:t>Louise Scott</w:t>
            </w:r>
          </w:p>
        </w:tc>
      </w:tr>
      <w:tr w:rsidR="005565EE" w:rsidRPr="001244B0" w14:paraId="051DB89D" w14:textId="33B9827D" w:rsidTr="005565EE">
        <w:trPr>
          <w:cantSplit/>
          <w:trHeight w:val="340"/>
        </w:trPr>
        <w:tc>
          <w:tcPr>
            <w:tcW w:w="5000" w:type="pct"/>
          </w:tcPr>
          <w:p w14:paraId="6ECFC834" w14:textId="16A55EAB" w:rsidR="005565EE" w:rsidRPr="001244B0" w:rsidRDefault="005565EE" w:rsidP="0016788B">
            <w:pPr>
              <w:rPr>
                <w:lang w:val="en-AU"/>
              </w:rPr>
            </w:pPr>
            <w:r>
              <w:rPr>
                <w:b/>
                <w:bCs/>
                <w:lang w:val="en-AU"/>
              </w:rPr>
              <w:t>Manager Events Melbourne</w:t>
            </w:r>
          </w:p>
        </w:tc>
      </w:tr>
      <w:bookmarkEnd w:id="4"/>
    </w:tbl>
    <w:p w14:paraId="6040156E" w14:textId="77777777" w:rsidR="00CE658E" w:rsidRPr="001244B0" w:rsidRDefault="00CE658E" w:rsidP="00CE658E">
      <w:pPr>
        <w:rPr>
          <w:rFonts w:eastAsia="Calibri" w:cs="Calibri"/>
        </w:rPr>
      </w:pPr>
    </w:p>
    <w:tbl>
      <w:tblPr>
        <w:tblStyle w:val="TableGrid"/>
        <w:tblW w:w="8755" w:type="dxa"/>
        <w:tblLook w:val="04A0" w:firstRow="1" w:lastRow="0" w:firstColumn="1" w:lastColumn="0" w:noHBand="0" w:noVBand="1"/>
      </w:tblPr>
      <w:tblGrid>
        <w:gridCol w:w="4328"/>
        <w:gridCol w:w="4427"/>
      </w:tblGrid>
      <w:tr w:rsidR="00CE658E" w:rsidRPr="001244B0" w14:paraId="2C7D2811" w14:textId="77777777" w:rsidTr="00CE658E">
        <w:tc>
          <w:tcPr>
            <w:tcW w:w="4328" w:type="dxa"/>
            <w:shd w:val="clear" w:color="auto" w:fill="auto"/>
            <w:vAlign w:val="center"/>
          </w:tcPr>
          <w:p w14:paraId="15831839" w14:textId="77777777" w:rsidR="00CE658E" w:rsidRPr="00CE658E" w:rsidRDefault="00CE658E" w:rsidP="005E15C2">
            <w:pPr>
              <w:spacing w:before="120" w:after="120"/>
              <w:rPr>
                <w:rFonts w:eastAsia="Calibri" w:cs="Calibri"/>
                <w:b/>
                <w:bCs/>
              </w:rPr>
            </w:pPr>
            <w:bookmarkStart w:id="5" w:name="RowTitle_Declaration_2"/>
            <w:r w:rsidRPr="00CE658E">
              <w:rPr>
                <w:rFonts w:eastAsia="Calibri" w:cs="Calibri"/>
                <w:b/>
                <w:bCs/>
              </w:rPr>
              <w:t>Date of external verification/audit</w:t>
            </w:r>
          </w:p>
        </w:tc>
        <w:tc>
          <w:tcPr>
            <w:tcW w:w="4427" w:type="dxa"/>
            <w:vAlign w:val="center"/>
          </w:tcPr>
          <w:p w14:paraId="6144EE77" w14:textId="349F620B" w:rsidR="00CE658E" w:rsidRPr="001244B0" w:rsidRDefault="005565EE" w:rsidP="005E15C2">
            <w:pPr>
              <w:spacing w:before="120" w:after="120"/>
              <w:rPr>
                <w:rFonts w:eastAsia="Calibri" w:cs="Calibri"/>
              </w:rPr>
            </w:pPr>
            <w:r>
              <w:rPr>
                <w:rFonts w:eastAsia="Calibri" w:cs="Calibri"/>
              </w:rPr>
              <w:t>19/07/2019</w:t>
            </w:r>
          </w:p>
        </w:tc>
      </w:tr>
      <w:tr w:rsidR="00CE658E" w:rsidRPr="001244B0" w14:paraId="63578D0F" w14:textId="77777777" w:rsidTr="00CE658E">
        <w:tc>
          <w:tcPr>
            <w:tcW w:w="4328" w:type="dxa"/>
            <w:shd w:val="clear" w:color="auto" w:fill="auto"/>
            <w:vAlign w:val="center"/>
          </w:tcPr>
          <w:p w14:paraId="5876F009" w14:textId="77777777" w:rsidR="00CE658E" w:rsidRPr="00CE658E" w:rsidRDefault="00CE658E" w:rsidP="005E15C2">
            <w:pPr>
              <w:spacing w:before="120" w:after="120"/>
              <w:rPr>
                <w:rFonts w:eastAsia="Calibri" w:cs="Calibri"/>
                <w:b/>
                <w:bCs/>
              </w:rPr>
            </w:pPr>
            <w:r w:rsidRPr="00CE658E">
              <w:rPr>
                <w:rFonts w:eastAsia="Calibri" w:cs="Calibri"/>
                <w:b/>
                <w:bCs/>
              </w:rPr>
              <w:t>Auditor</w:t>
            </w:r>
          </w:p>
        </w:tc>
        <w:tc>
          <w:tcPr>
            <w:tcW w:w="4427" w:type="dxa"/>
            <w:vAlign w:val="center"/>
          </w:tcPr>
          <w:p w14:paraId="65E37DA2" w14:textId="631FBC1B" w:rsidR="00CE658E" w:rsidRPr="001244B0" w:rsidRDefault="005565EE" w:rsidP="005E15C2">
            <w:pPr>
              <w:spacing w:before="120" w:after="120"/>
              <w:rPr>
                <w:rFonts w:eastAsia="Calibri" w:cs="Calibri"/>
              </w:rPr>
            </w:pPr>
            <w:r w:rsidRPr="005565EE">
              <w:rPr>
                <w:rFonts w:eastAsia="Calibri" w:cs="Calibri"/>
                <w:lang w:val="en-AU"/>
              </w:rPr>
              <w:t>Terence Jeyaretnam</w:t>
            </w:r>
          </w:p>
        </w:tc>
      </w:tr>
      <w:tr w:rsidR="00CE658E" w:rsidRPr="001244B0" w14:paraId="07C24D2F" w14:textId="77777777" w:rsidTr="00CE658E">
        <w:tc>
          <w:tcPr>
            <w:tcW w:w="4328" w:type="dxa"/>
            <w:shd w:val="clear" w:color="auto" w:fill="auto"/>
            <w:vAlign w:val="center"/>
          </w:tcPr>
          <w:p w14:paraId="30CB7727" w14:textId="77777777" w:rsidR="00CE658E" w:rsidRPr="00CE658E" w:rsidRDefault="00CE658E" w:rsidP="005E15C2">
            <w:pPr>
              <w:spacing w:before="120" w:after="120"/>
              <w:rPr>
                <w:rFonts w:eastAsia="Calibri" w:cs="Calibri"/>
                <w:b/>
                <w:bCs/>
              </w:rPr>
            </w:pPr>
            <w:r w:rsidRPr="00CE658E">
              <w:rPr>
                <w:rFonts w:eastAsia="Calibri" w:cs="Calibri"/>
                <w:b/>
                <w:bCs/>
              </w:rPr>
              <w:t>Auditor assurance statement link</w:t>
            </w:r>
          </w:p>
        </w:tc>
        <w:tc>
          <w:tcPr>
            <w:tcW w:w="4427" w:type="dxa"/>
            <w:vAlign w:val="center"/>
          </w:tcPr>
          <w:p w14:paraId="08A6F2EE" w14:textId="77777777" w:rsidR="00CE658E" w:rsidRPr="001244B0" w:rsidRDefault="00CE658E" w:rsidP="005E15C2">
            <w:pPr>
              <w:spacing w:before="120" w:after="120"/>
              <w:rPr>
                <w:rFonts w:eastAsia="Calibri" w:cs="Calibri"/>
              </w:rPr>
            </w:pPr>
          </w:p>
        </w:tc>
      </w:tr>
    </w:tbl>
    <w:bookmarkEnd w:id="5"/>
    <w:p w14:paraId="5FCC2CA8" w14:textId="77777777" w:rsidR="00CE658E" w:rsidRPr="001244B0" w:rsidRDefault="00CE658E" w:rsidP="0016788B">
      <w:pPr>
        <w:spacing w:before="200"/>
      </w:pPr>
      <w:r w:rsidRPr="001244B0">
        <w:rPr>
          <w:noProof/>
          <w:lang w:val="en-AU" w:eastAsia="en-AU"/>
        </w:rPr>
        <w:drawing>
          <wp:inline distT="0" distB="0" distL="0" distR="0" wp14:anchorId="5A2319A4" wp14:editId="7EE6D824">
            <wp:extent cx="3187835" cy="542544"/>
            <wp:effectExtent l="0" t="0" r="0" b="0"/>
            <wp:docPr id="1" name="image9.jpeg" descr="Australian Government logo. Department of the Environment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stretch>
                      <a:fillRect/>
                    </a:stretch>
                  </pic:blipFill>
                  <pic:spPr>
                    <a:xfrm>
                      <a:off x="0" y="0"/>
                      <a:ext cx="3187835" cy="542544"/>
                    </a:xfrm>
                    <a:prstGeom prst="rect">
                      <a:avLst/>
                    </a:prstGeom>
                  </pic:spPr>
                </pic:pic>
              </a:graphicData>
            </a:graphic>
          </wp:inline>
        </w:drawing>
      </w:r>
    </w:p>
    <w:p w14:paraId="36DA117B" w14:textId="116055C8" w:rsidR="00CE658E" w:rsidRDefault="00CE658E" w:rsidP="00CE658E">
      <w:pPr>
        <w:spacing w:after="240"/>
        <w:rPr>
          <w:sz w:val="16"/>
        </w:rPr>
      </w:pPr>
      <w:r w:rsidRPr="001244B0">
        <w:rPr>
          <w:sz w:val="16"/>
        </w:rPr>
        <w:t>Public Disclosure Summary documents are prepared by the submitting organisation. The material in Public Disclosure Summary documents represents the views of the organisation and does not necessarily reflect the views of the Commonwealth. The Commonwealth does not guarantee the accuracy of the contents of the Public Disclosure Summary documents and disclaims liability for any loss arising from the use of the document for any purpose.</w:t>
      </w:r>
    </w:p>
    <w:p w14:paraId="66DD7D77" w14:textId="551F00EB" w:rsidR="00CE658E" w:rsidRPr="00CE658E" w:rsidRDefault="00CE658E" w:rsidP="00CE658E">
      <w:pPr>
        <w:spacing w:line="280" w:lineRule="exact"/>
        <w:rPr>
          <w:sz w:val="16"/>
        </w:rPr>
      </w:pPr>
      <w:r>
        <w:rPr>
          <w:sz w:val="16"/>
        </w:rPr>
        <w:br w:type="page"/>
      </w:r>
      <w:bookmarkStart w:id="6" w:name="Guidance_-_Public_Disclosure_Summary_v5."/>
      <w:bookmarkStart w:id="7" w:name="Declaration"/>
      <w:bookmarkStart w:id="8" w:name="1._Carbon_neutral_information"/>
      <w:bookmarkEnd w:id="6"/>
      <w:bookmarkEnd w:id="7"/>
      <w:bookmarkEnd w:id="8"/>
    </w:p>
    <w:p w14:paraId="5B47A659" w14:textId="3AB714BE" w:rsidR="0041790C" w:rsidRDefault="00CE658E" w:rsidP="000F5BEB">
      <w:pPr>
        <w:pStyle w:val="Heading2"/>
        <w:numPr>
          <w:ilvl w:val="0"/>
          <w:numId w:val="0"/>
        </w:numPr>
        <w:ind w:left="567" w:hanging="567"/>
      </w:pPr>
      <w:bookmarkStart w:id="9" w:name="_Toc14679643"/>
      <w:r>
        <w:lastRenderedPageBreak/>
        <w:t>Contents</w:t>
      </w:r>
      <w:bookmarkEnd w:id="9"/>
    </w:p>
    <w:sdt>
      <w:sdtPr>
        <w:id w:val="-2040203316"/>
        <w:docPartObj>
          <w:docPartGallery w:val="Table of Contents"/>
          <w:docPartUnique/>
        </w:docPartObj>
      </w:sdtPr>
      <w:sdtEndPr>
        <w:rPr>
          <w:b/>
          <w:bCs/>
          <w:noProof/>
        </w:rPr>
      </w:sdtEndPr>
      <w:sdtContent>
        <w:p w14:paraId="0C407F5F" w14:textId="07300E23" w:rsidR="007B1B58" w:rsidRDefault="007B1B58" w:rsidP="007B1B58">
          <w:pPr>
            <w:pStyle w:val="TOC1"/>
            <w:rPr>
              <w:noProof/>
            </w:rPr>
          </w:pPr>
          <w:r>
            <w:fldChar w:fldCharType="begin"/>
          </w:r>
          <w:r>
            <w:instrText xml:space="preserve"> TOC \o "1-3" \h \z \u </w:instrText>
          </w:r>
          <w:r>
            <w:fldChar w:fldCharType="separate"/>
          </w:r>
          <w:hyperlink w:anchor="_Toc14679639" w:history="1">
            <w:r w:rsidRPr="003A50B0">
              <w:rPr>
                <w:rStyle w:val="Hyperlink"/>
                <w:noProof/>
              </w:rPr>
              <w:t>National Carbon Offset Standard for Events</w:t>
            </w:r>
            <w:r>
              <w:rPr>
                <w:noProof/>
                <w:webHidden/>
              </w:rPr>
              <w:tab/>
            </w:r>
            <w:r>
              <w:rPr>
                <w:noProof/>
                <w:webHidden/>
              </w:rPr>
              <w:fldChar w:fldCharType="begin"/>
            </w:r>
            <w:r>
              <w:rPr>
                <w:noProof/>
                <w:webHidden/>
              </w:rPr>
              <w:instrText xml:space="preserve"> PAGEREF _Toc14679639 \h </w:instrText>
            </w:r>
            <w:r>
              <w:rPr>
                <w:noProof/>
                <w:webHidden/>
              </w:rPr>
            </w:r>
            <w:r>
              <w:rPr>
                <w:noProof/>
                <w:webHidden/>
              </w:rPr>
              <w:fldChar w:fldCharType="separate"/>
            </w:r>
            <w:r>
              <w:rPr>
                <w:noProof/>
                <w:webHidden/>
              </w:rPr>
              <w:t>1</w:t>
            </w:r>
            <w:r>
              <w:rPr>
                <w:noProof/>
                <w:webHidden/>
              </w:rPr>
              <w:fldChar w:fldCharType="end"/>
            </w:r>
          </w:hyperlink>
        </w:p>
        <w:p w14:paraId="725A9461" w14:textId="3386AE99" w:rsidR="007B1B58" w:rsidRDefault="007C5A36" w:rsidP="007B1B58">
          <w:pPr>
            <w:pStyle w:val="TOC2"/>
            <w:rPr>
              <w:noProof/>
            </w:rPr>
          </w:pPr>
          <w:hyperlink w:anchor="_Toc14679641" w:history="1">
            <w:r w:rsidR="007B1B58" w:rsidRPr="003A50B0">
              <w:rPr>
                <w:rStyle w:val="Hyperlink"/>
                <w:rFonts w:cs="Arial"/>
                <w:noProof/>
              </w:rPr>
              <w:t>Post Event Public Disclosure Summary</w:t>
            </w:r>
            <w:r w:rsidR="007B1B58">
              <w:rPr>
                <w:noProof/>
                <w:webHidden/>
              </w:rPr>
              <w:tab/>
            </w:r>
            <w:r w:rsidR="007B1B58">
              <w:rPr>
                <w:noProof/>
                <w:webHidden/>
              </w:rPr>
              <w:fldChar w:fldCharType="begin"/>
            </w:r>
            <w:r w:rsidR="007B1B58">
              <w:rPr>
                <w:noProof/>
                <w:webHidden/>
              </w:rPr>
              <w:instrText xml:space="preserve"> PAGEREF _Toc14679641 \h </w:instrText>
            </w:r>
            <w:r w:rsidR="007B1B58">
              <w:rPr>
                <w:noProof/>
                <w:webHidden/>
              </w:rPr>
            </w:r>
            <w:r w:rsidR="007B1B58">
              <w:rPr>
                <w:noProof/>
                <w:webHidden/>
              </w:rPr>
              <w:fldChar w:fldCharType="separate"/>
            </w:r>
            <w:r w:rsidR="007B1B58">
              <w:rPr>
                <w:noProof/>
                <w:webHidden/>
              </w:rPr>
              <w:t>1</w:t>
            </w:r>
            <w:r w:rsidR="007B1B58">
              <w:rPr>
                <w:noProof/>
                <w:webHidden/>
              </w:rPr>
              <w:fldChar w:fldCharType="end"/>
            </w:r>
          </w:hyperlink>
        </w:p>
        <w:p w14:paraId="17FB41FB" w14:textId="3CE0E181" w:rsidR="007B1B58" w:rsidRDefault="007C5A36" w:rsidP="007B1B58">
          <w:pPr>
            <w:pStyle w:val="TOC2"/>
            <w:rPr>
              <w:noProof/>
            </w:rPr>
          </w:pPr>
          <w:hyperlink w:anchor="_Toc14679642" w:history="1">
            <w:r w:rsidR="007B1B58" w:rsidRPr="003A50B0">
              <w:rPr>
                <w:rStyle w:val="Hyperlink"/>
                <w:noProof/>
              </w:rPr>
              <w:t>Declaration</w:t>
            </w:r>
            <w:r w:rsidR="007B1B58">
              <w:rPr>
                <w:noProof/>
                <w:webHidden/>
              </w:rPr>
              <w:tab/>
            </w:r>
            <w:r w:rsidR="007B1B58">
              <w:rPr>
                <w:noProof/>
                <w:webHidden/>
              </w:rPr>
              <w:fldChar w:fldCharType="begin"/>
            </w:r>
            <w:r w:rsidR="007B1B58">
              <w:rPr>
                <w:noProof/>
                <w:webHidden/>
              </w:rPr>
              <w:instrText xml:space="preserve"> PAGEREF _Toc14679642 \h </w:instrText>
            </w:r>
            <w:r w:rsidR="007B1B58">
              <w:rPr>
                <w:noProof/>
                <w:webHidden/>
              </w:rPr>
            </w:r>
            <w:r w:rsidR="007B1B58">
              <w:rPr>
                <w:noProof/>
                <w:webHidden/>
              </w:rPr>
              <w:fldChar w:fldCharType="separate"/>
            </w:r>
            <w:r w:rsidR="007B1B58">
              <w:rPr>
                <w:noProof/>
                <w:webHidden/>
              </w:rPr>
              <w:t>2</w:t>
            </w:r>
            <w:r w:rsidR="007B1B58">
              <w:rPr>
                <w:noProof/>
                <w:webHidden/>
              </w:rPr>
              <w:fldChar w:fldCharType="end"/>
            </w:r>
          </w:hyperlink>
        </w:p>
        <w:p w14:paraId="1D1EEDA9" w14:textId="2FA32D2A" w:rsidR="007B1B58" w:rsidRDefault="007C5A36" w:rsidP="007B1B58">
          <w:pPr>
            <w:pStyle w:val="TOC2"/>
            <w:rPr>
              <w:noProof/>
            </w:rPr>
          </w:pPr>
          <w:hyperlink w:anchor="_Toc14679643" w:history="1">
            <w:r w:rsidR="007B1B58" w:rsidRPr="003A50B0">
              <w:rPr>
                <w:rStyle w:val="Hyperlink"/>
                <w:noProof/>
              </w:rPr>
              <w:t>Contents</w:t>
            </w:r>
            <w:r w:rsidR="007B1B58">
              <w:rPr>
                <w:noProof/>
                <w:webHidden/>
              </w:rPr>
              <w:tab/>
            </w:r>
            <w:r w:rsidR="007B1B58">
              <w:rPr>
                <w:noProof/>
                <w:webHidden/>
              </w:rPr>
              <w:fldChar w:fldCharType="begin"/>
            </w:r>
            <w:r w:rsidR="007B1B58">
              <w:rPr>
                <w:noProof/>
                <w:webHidden/>
              </w:rPr>
              <w:instrText xml:space="preserve"> PAGEREF _Toc14679643 \h </w:instrText>
            </w:r>
            <w:r w:rsidR="007B1B58">
              <w:rPr>
                <w:noProof/>
                <w:webHidden/>
              </w:rPr>
            </w:r>
            <w:r w:rsidR="007B1B58">
              <w:rPr>
                <w:noProof/>
                <w:webHidden/>
              </w:rPr>
              <w:fldChar w:fldCharType="separate"/>
            </w:r>
            <w:r w:rsidR="007B1B58">
              <w:rPr>
                <w:noProof/>
                <w:webHidden/>
              </w:rPr>
              <w:t>3</w:t>
            </w:r>
            <w:r w:rsidR="007B1B58">
              <w:rPr>
                <w:noProof/>
                <w:webHidden/>
              </w:rPr>
              <w:fldChar w:fldCharType="end"/>
            </w:r>
          </w:hyperlink>
        </w:p>
        <w:p w14:paraId="46903E11" w14:textId="57E7326F" w:rsidR="007B1B58" w:rsidRDefault="007C5A36" w:rsidP="007B1B58">
          <w:pPr>
            <w:pStyle w:val="TOC2"/>
            <w:rPr>
              <w:noProof/>
            </w:rPr>
          </w:pPr>
          <w:hyperlink w:anchor="_Toc14679644" w:history="1">
            <w:r w:rsidR="007B1B58" w:rsidRPr="003A50B0">
              <w:rPr>
                <w:rStyle w:val="Hyperlink"/>
                <w:noProof/>
              </w:rPr>
              <w:t>1</w:t>
            </w:r>
            <w:r w:rsidR="007B1B58">
              <w:rPr>
                <w:rStyle w:val="Hyperlink"/>
                <w:noProof/>
              </w:rPr>
              <w:t xml:space="preserve"> </w:t>
            </w:r>
            <w:r w:rsidR="007B1B58" w:rsidRPr="003A50B0">
              <w:rPr>
                <w:rStyle w:val="Hyperlink"/>
                <w:noProof/>
              </w:rPr>
              <w:t>Carbon neutral information</w:t>
            </w:r>
            <w:r w:rsidR="007B1B58">
              <w:rPr>
                <w:noProof/>
                <w:webHidden/>
              </w:rPr>
              <w:tab/>
            </w:r>
            <w:r w:rsidR="007B1B58">
              <w:rPr>
                <w:noProof/>
                <w:webHidden/>
              </w:rPr>
              <w:fldChar w:fldCharType="begin"/>
            </w:r>
            <w:r w:rsidR="007B1B58">
              <w:rPr>
                <w:noProof/>
                <w:webHidden/>
              </w:rPr>
              <w:instrText xml:space="preserve"> PAGEREF _Toc14679644 \h </w:instrText>
            </w:r>
            <w:r w:rsidR="007B1B58">
              <w:rPr>
                <w:noProof/>
                <w:webHidden/>
              </w:rPr>
            </w:r>
            <w:r w:rsidR="007B1B58">
              <w:rPr>
                <w:noProof/>
                <w:webHidden/>
              </w:rPr>
              <w:fldChar w:fldCharType="separate"/>
            </w:r>
            <w:r w:rsidR="007B1B58">
              <w:rPr>
                <w:noProof/>
                <w:webHidden/>
              </w:rPr>
              <w:t>4</w:t>
            </w:r>
            <w:r w:rsidR="007B1B58">
              <w:rPr>
                <w:noProof/>
                <w:webHidden/>
              </w:rPr>
              <w:fldChar w:fldCharType="end"/>
            </w:r>
          </w:hyperlink>
        </w:p>
        <w:p w14:paraId="26A9EB91" w14:textId="015A747D" w:rsidR="007B1B58" w:rsidRDefault="007C5A36">
          <w:pPr>
            <w:pStyle w:val="TOC3"/>
            <w:tabs>
              <w:tab w:val="left" w:pos="1100"/>
              <w:tab w:val="right" w:leader="dot" w:pos="9016"/>
            </w:tabs>
            <w:rPr>
              <w:noProof/>
            </w:rPr>
          </w:pPr>
          <w:hyperlink w:anchor="_Toc14679645" w:history="1">
            <w:r w:rsidR="007B1B58" w:rsidRPr="003A50B0">
              <w:rPr>
                <w:rStyle w:val="Hyperlink"/>
                <w:noProof/>
              </w:rPr>
              <w:t>1A.</w:t>
            </w:r>
            <w:r w:rsidR="007B1B58">
              <w:rPr>
                <w:noProof/>
              </w:rPr>
              <w:t xml:space="preserve"> </w:t>
            </w:r>
            <w:r w:rsidR="007B1B58" w:rsidRPr="003A50B0">
              <w:rPr>
                <w:rStyle w:val="Hyperlink"/>
                <w:noProof/>
              </w:rPr>
              <w:t>Introduction</w:t>
            </w:r>
            <w:r w:rsidR="007B1B58">
              <w:rPr>
                <w:noProof/>
                <w:webHidden/>
              </w:rPr>
              <w:tab/>
            </w:r>
            <w:r w:rsidR="007B1B58">
              <w:rPr>
                <w:noProof/>
                <w:webHidden/>
              </w:rPr>
              <w:fldChar w:fldCharType="begin"/>
            </w:r>
            <w:r w:rsidR="007B1B58">
              <w:rPr>
                <w:noProof/>
                <w:webHidden/>
              </w:rPr>
              <w:instrText xml:space="preserve"> PAGEREF _Toc14679645 \h </w:instrText>
            </w:r>
            <w:r w:rsidR="007B1B58">
              <w:rPr>
                <w:noProof/>
                <w:webHidden/>
              </w:rPr>
            </w:r>
            <w:r w:rsidR="007B1B58">
              <w:rPr>
                <w:noProof/>
                <w:webHidden/>
              </w:rPr>
              <w:fldChar w:fldCharType="separate"/>
            </w:r>
            <w:r w:rsidR="007B1B58">
              <w:rPr>
                <w:noProof/>
                <w:webHidden/>
              </w:rPr>
              <w:t>4</w:t>
            </w:r>
            <w:r w:rsidR="007B1B58">
              <w:rPr>
                <w:noProof/>
                <w:webHidden/>
              </w:rPr>
              <w:fldChar w:fldCharType="end"/>
            </w:r>
          </w:hyperlink>
        </w:p>
        <w:p w14:paraId="5FBEE7E6" w14:textId="01C814F7" w:rsidR="007B1B58" w:rsidRDefault="007C5A36">
          <w:pPr>
            <w:pStyle w:val="TOC3"/>
            <w:tabs>
              <w:tab w:val="left" w:pos="1100"/>
              <w:tab w:val="right" w:leader="dot" w:pos="9016"/>
            </w:tabs>
            <w:rPr>
              <w:noProof/>
            </w:rPr>
          </w:pPr>
          <w:hyperlink w:anchor="_Toc14679646" w:history="1">
            <w:r w:rsidR="007B1B58" w:rsidRPr="003A50B0">
              <w:rPr>
                <w:rStyle w:val="Hyperlink"/>
                <w:noProof/>
              </w:rPr>
              <w:t>1B.</w:t>
            </w:r>
            <w:r w:rsidR="007B1B58">
              <w:rPr>
                <w:rStyle w:val="Hyperlink"/>
                <w:noProof/>
              </w:rPr>
              <w:t xml:space="preserve"> </w:t>
            </w:r>
            <w:r w:rsidR="007B1B58" w:rsidRPr="003A50B0">
              <w:rPr>
                <w:rStyle w:val="Hyperlink"/>
                <w:noProof/>
              </w:rPr>
              <w:t>Changes to certification boundary</w:t>
            </w:r>
            <w:r w:rsidR="007B1B58">
              <w:rPr>
                <w:noProof/>
                <w:webHidden/>
              </w:rPr>
              <w:tab/>
            </w:r>
            <w:r w:rsidR="007B1B58">
              <w:rPr>
                <w:noProof/>
                <w:webHidden/>
              </w:rPr>
              <w:fldChar w:fldCharType="begin"/>
            </w:r>
            <w:r w:rsidR="007B1B58">
              <w:rPr>
                <w:noProof/>
                <w:webHidden/>
              </w:rPr>
              <w:instrText xml:space="preserve"> PAGEREF _Toc14679646 \h </w:instrText>
            </w:r>
            <w:r w:rsidR="007B1B58">
              <w:rPr>
                <w:noProof/>
                <w:webHidden/>
              </w:rPr>
            </w:r>
            <w:r w:rsidR="007B1B58">
              <w:rPr>
                <w:noProof/>
                <w:webHidden/>
              </w:rPr>
              <w:fldChar w:fldCharType="separate"/>
            </w:r>
            <w:r w:rsidR="007B1B58">
              <w:rPr>
                <w:noProof/>
                <w:webHidden/>
              </w:rPr>
              <w:t>4</w:t>
            </w:r>
            <w:r w:rsidR="007B1B58">
              <w:rPr>
                <w:noProof/>
                <w:webHidden/>
              </w:rPr>
              <w:fldChar w:fldCharType="end"/>
            </w:r>
          </w:hyperlink>
        </w:p>
        <w:p w14:paraId="39D354AC" w14:textId="63C40F8C" w:rsidR="007B1B58" w:rsidRDefault="007C5A36">
          <w:pPr>
            <w:pStyle w:val="TOC3"/>
            <w:tabs>
              <w:tab w:val="left" w:pos="1100"/>
              <w:tab w:val="right" w:leader="dot" w:pos="9016"/>
            </w:tabs>
            <w:rPr>
              <w:noProof/>
            </w:rPr>
          </w:pPr>
          <w:hyperlink w:anchor="_Toc14679647" w:history="1">
            <w:r w:rsidR="007B1B58" w:rsidRPr="003A50B0">
              <w:rPr>
                <w:rStyle w:val="Hyperlink"/>
                <w:noProof/>
              </w:rPr>
              <w:t>1C.</w:t>
            </w:r>
            <w:r w:rsidR="007B1B58">
              <w:rPr>
                <w:rStyle w:val="Hyperlink"/>
                <w:noProof/>
              </w:rPr>
              <w:t xml:space="preserve"> </w:t>
            </w:r>
            <w:r w:rsidR="007B1B58" w:rsidRPr="003A50B0">
              <w:rPr>
                <w:rStyle w:val="Hyperlink"/>
                <w:noProof/>
              </w:rPr>
              <w:t>Changes to calculation methodologies</w:t>
            </w:r>
            <w:r w:rsidR="007B1B58">
              <w:rPr>
                <w:noProof/>
                <w:webHidden/>
              </w:rPr>
              <w:tab/>
            </w:r>
            <w:r w:rsidR="007B1B58">
              <w:rPr>
                <w:noProof/>
                <w:webHidden/>
              </w:rPr>
              <w:fldChar w:fldCharType="begin"/>
            </w:r>
            <w:r w:rsidR="007B1B58">
              <w:rPr>
                <w:noProof/>
                <w:webHidden/>
              </w:rPr>
              <w:instrText xml:space="preserve"> PAGEREF _Toc14679647 \h </w:instrText>
            </w:r>
            <w:r w:rsidR="007B1B58">
              <w:rPr>
                <w:noProof/>
                <w:webHidden/>
              </w:rPr>
            </w:r>
            <w:r w:rsidR="007B1B58">
              <w:rPr>
                <w:noProof/>
                <w:webHidden/>
              </w:rPr>
              <w:fldChar w:fldCharType="separate"/>
            </w:r>
            <w:r w:rsidR="007B1B58">
              <w:rPr>
                <w:noProof/>
                <w:webHidden/>
              </w:rPr>
              <w:t>6</w:t>
            </w:r>
            <w:r w:rsidR="007B1B58">
              <w:rPr>
                <w:noProof/>
                <w:webHidden/>
              </w:rPr>
              <w:fldChar w:fldCharType="end"/>
            </w:r>
          </w:hyperlink>
        </w:p>
        <w:p w14:paraId="7B641675" w14:textId="4176697E" w:rsidR="007B1B58" w:rsidRDefault="007C5A36">
          <w:pPr>
            <w:pStyle w:val="TOC3"/>
            <w:tabs>
              <w:tab w:val="left" w:pos="1100"/>
              <w:tab w:val="right" w:leader="dot" w:pos="9016"/>
            </w:tabs>
            <w:rPr>
              <w:noProof/>
            </w:rPr>
          </w:pPr>
          <w:hyperlink w:anchor="_Toc14679648" w:history="1">
            <w:r w:rsidR="007B1B58" w:rsidRPr="003A50B0">
              <w:rPr>
                <w:rStyle w:val="Hyperlink"/>
                <w:noProof/>
              </w:rPr>
              <w:t>1D.</w:t>
            </w:r>
            <w:r w:rsidR="007B1B58">
              <w:rPr>
                <w:rStyle w:val="Hyperlink"/>
                <w:noProof/>
              </w:rPr>
              <w:t xml:space="preserve"> </w:t>
            </w:r>
            <w:r w:rsidR="007B1B58" w:rsidRPr="003A50B0">
              <w:rPr>
                <w:rStyle w:val="Hyperlink"/>
                <w:noProof/>
              </w:rPr>
              <w:t>Diagram of the certification boundary</w:t>
            </w:r>
            <w:r w:rsidR="007B1B58">
              <w:rPr>
                <w:noProof/>
                <w:webHidden/>
              </w:rPr>
              <w:tab/>
            </w:r>
            <w:r w:rsidR="007B1B58">
              <w:rPr>
                <w:noProof/>
                <w:webHidden/>
              </w:rPr>
              <w:fldChar w:fldCharType="begin"/>
            </w:r>
            <w:r w:rsidR="007B1B58">
              <w:rPr>
                <w:noProof/>
                <w:webHidden/>
              </w:rPr>
              <w:instrText xml:space="preserve"> PAGEREF _Toc14679648 \h </w:instrText>
            </w:r>
            <w:r w:rsidR="007B1B58">
              <w:rPr>
                <w:noProof/>
                <w:webHidden/>
              </w:rPr>
            </w:r>
            <w:r w:rsidR="007B1B58">
              <w:rPr>
                <w:noProof/>
                <w:webHidden/>
              </w:rPr>
              <w:fldChar w:fldCharType="separate"/>
            </w:r>
            <w:r w:rsidR="007B1B58">
              <w:rPr>
                <w:noProof/>
                <w:webHidden/>
              </w:rPr>
              <w:t>9</w:t>
            </w:r>
            <w:r w:rsidR="007B1B58">
              <w:rPr>
                <w:noProof/>
                <w:webHidden/>
              </w:rPr>
              <w:fldChar w:fldCharType="end"/>
            </w:r>
          </w:hyperlink>
        </w:p>
        <w:p w14:paraId="49BE8DC0" w14:textId="5687B79A" w:rsidR="007B1B58" w:rsidRDefault="007C5A36" w:rsidP="007B1B58">
          <w:pPr>
            <w:pStyle w:val="TOC2"/>
            <w:rPr>
              <w:noProof/>
            </w:rPr>
          </w:pPr>
          <w:hyperlink w:anchor="_Toc14679649" w:history="1">
            <w:r w:rsidR="007B1B58" w:rsidRPr="003A50B0">
              <w:rPr>
                <w:rStyle w:val="Hyperlink"/>
                <w:noProof/>
                <w:lang w:val="en-AU"/>
              </w:rPr>
              <w:t>2. Emissions reduction measures</w:t>
            </w:r>
            <w:r w:rsidR="007B1B58">
              <w:rPr>
                <w:noProof/>
                <w:webHidden/>
              </w:rPr>
              <w:tab/>
            </w:r>
            <w:r w:rsidR="007B1B58">
              <w:rPr>
                <w:noProof/>
                <w:webHidden/>
              </w:rPr>
              <w:fldChar w:fldCharType="begin"/>
            </w:r>
            <w:r w:rsidR="007B1B58">
              <w:rPr>
                <w:noProof/>
                <w:webHidden/>
              </w:rPr>
              <w:instrText xml:space="preserve"> PAGEREF _Toc14679649 \h </w:instrText>
            </w:r>
            <w:r w:rsidR="007B1B58">
              <w:rPr>
                <w:noProof/>
                <w:webHidden/>
              </w:rPr>
            </w:r>
            <w:r w:rsidR="007B1B58">
              <w:rPr>
                <w:noProof/>
                <w:webHidden/>
              </w:rPr>
              <w:fldChar w:fldCharType="separate"/>
            </w:r>
            <w:r w:rsidR="007B1B58">
              <w:rPr>
                <w:noProof/>
                <w:webHidden/>
              </w:rPr>
              <w:t>12</w:t>
            </w:r>
            <w:r w:rsidR="007B1B58">
              <w:rPr>
                <w:noProof/>
                <w:webHidden/>
              </w:rPr>
              <w:fldChar w:fldCharType="end"/>
            </w:r>
          </w:hyperlink>
        </w:p>
        <w:p w14:paraId="2E50D358" w14:textId="52F94392" w:rsidR="007B1B58" w:rsidRDefault="007C5A36">
          <w:pPr>
            <w:pStyle w:val="TOC3"/>
            <w:tabs>
              <w:tab w:val="left" w:pos="1100"/>
              <w:tab w:val="right" w:leader="dot" w:pos="9016"/>
            </w:tabs>
            <w:rPr>
              <w:noProof/>
            </w:rPr>
          </w:pPr>
          <w:hyperlink w:anchor="_Toc14679650" w:history="1">
            <w:r w:rsidR="007B1B58" w:rsidRPr="003A50B0">
              <w:rPr>
                <w:rStyle w:val="Hyperlink"/>
                <w:noProof/>
                <w:lang w:val="en-AU"/>
              </w:rPr>
              <w:t>2A.</w:t>
            </w:r>
            <w:r w:rsidR="007B1B58">
              <w:rPr>
                <w:rStyle w:val="Hyperlink"/>
                <w:noProof/>
                <w:lang w:val="en-AU"/>
              </w:rPr>
              <w:t xml:space="preserve"> </w:t>
            </w:r>
            <w:r w:rsidR="007B1B58" w:rsidRPr="003A50B0">
              <w:rPr>
                <w:rStyle w:val="Hyperlink"/>
                <w:noProof/>
                <w:lang w:val="en-AU"/>
              </w:rPr>
              <w:t>Emissions over time</w:t>
            </w:r>
            <w:r w:rsidR="007B1B58">
              <w:rPr>
                <w:noProof/>
                <w:webHidden/>
              </w:rPr>
              <w:tab/>
            </w:r>
            <w:r w:rsidR="007B1B58">
              <w:rPr>
                <w:noProof/>
                <w:webHidden/>
              </w:rPr>
              <w:fldChar w:fldCharType="begin"/>
            </w:r>
            <w:r w:rsidR="007B1B58">
              <w:rPr>
                <w:noProof/>
                <w:webHidden/>
              </w:rPr>
              <w:instrText xml:space="preserve"> PAGEREF _Toc14679650 \h </w:instrText>
            </w:r>
            <w:r w:rsidR="007B1B58">
              <w:rPr>
                <w:noProof/>
                <w:webHidden/>
              </w:rPr>
            </w:r>
            <w:r w:rsidR="007B1B58">
              <w:rPr>
                <w:noProof/>
                <w:webHidden/>
              </w:rPr>
              <w:fldChar w:fldCharType="separate"/>
            </w:r>
            <w:r w:rsidR="007B1B58">
              <w:rPr>
                <w:noProof/>
                <w:webHidden/>
              </w:rPr>
              <w:t>12</w:t>
            </w:r>
            <w:r w:rsidR="007B1B58">
              <w:rPr>
                <w:noProof/>
                <w:webHidden/>
              </w:rPr>
              <w:fldChar w:fldCharType="end"/>
            </w:r>
          </w:hyperlink>
        </w:p>
        <w:p w14:paraId="6DC8B394" w14:textId="47ABB560" w:rsidR="007B1B58" w:rsidRDefault="007C5A36">
          <w:pPr>
            <w:pStyle w:val="TOC3"/>
            <w:tabs>
              <w:tab w:val="left" w:pos="1100"/>
              <w:tab w:val="right" w:leader="dot" w:pos="9016"/>
            </w:tabs>
            <w:rPr>
              <w:noProof/>
            </w:rPr>
          </w:pPr>
          <w:hyperlink w:anchor="_Toc14679651" w:history="1">
            <w:r w:rsidR="007B1B58" w:rsidRPr="003A50B0">
              <w:rPr>
                <w:rStyle w:val="Hyperlink"/>
                <w:noProof/>
              </w:rPr>
              <w:t>2B.</w:t>
            </w:r>
            <w:r w:rsidR="007B1B58">
              <w:rPr>
                <w:rStyle w:val="Hyperlink"/>
                <w:noProof/>
              </w:rPr>
              <w:t xml:space="preserve"> </w:t>
            </w:r>
            <w:r w:rsidR="007B1B58" w:rsidRPr="003A50B0">
              <w:rPr>
                <w:rStyle w:val="Hyperlink"/>
                <w:noProof/>
              </w:rPr>
              <w:t>Emissions reduction strategy</w:t>
            </w:r>
            <w:r w:rsidR="007B1B58">
              <w:rPr>
                <w:noProof/>
                <w:webHidden/>
              </w:rPr>
              <w:tab/>
            </w:r>
            <w:r w:rsidR="007B1B58">
              <w:rPr>
                <w:noProof/>
                <w:webHidden/>
              </w:rPr>
              <w:fldChar w:fldCharType="begin"/>
            </w:r>
            <w:r w:rsidR="007B1B58">
              <w:rPr>
                <w:noProof/>
                <w:webHidden/>
              </w:rPr>
              <w:instrText xml:space="preserve"> PAGEREF _Toc14679651 \h </w:instrText>
            </w:r>
            <w:r w:rsidR="007B1B58">
              <w:rPr>
                <w:noProof/>
                <w:webHidden/>
              </w:rPr>
            </w:r>
            <w:r w:rsidR="007B1B58">
              <w:rPr>
                <w:noProof/>
                <w:webHidden/>
              </w:rPr>
              <w:fldChar w:fldCharType="separate"/>
            </w:r>
            <w:r w:rsidR="007B1B58">
              <w:rPr>
                <w:noProof/>
                <w:webHidden/>
              </w:rPr>
              <w:t>12</w:t>
            </w:r>
            <w:r w:rsidR="007B1B58">
              <w:rPr>
                <w:noProof/>
                <w:webHidden/>
              </w:rPr>
              <w:fldChar w:fldCharType="end"/>
            </w:r>
          </w:hyperlink>
        </w:p>
        <w:p w14:paraId="479E2216" w14:textId="1524DE9F" w:rsidR="007B1B58" w:rsidRDefault="007C5A36">
          <w:pPr>
            <w:pStyle w:val="TOC3"/>
            <w:tabs>
              <w:tab w:val="left" w:pos="1100"/>
              <w:tab w:val="right" w:leader="dot" w:pos="9016"/>
            </w:tabs>
            <w:rPr>
              <w:noProof/>
            </w:rPr>
          </w:pPr>
          <w:hyperlink w:anchor="_Toc14679652" w:history="1">
            <w:r w:rsidR="007B1B58" w:rsidRPr="003A50B0">
              <w:rPr>
                <w:rStyle w:val="Hyperlink"/>
                <w:noProof/>
              </w:rPr>
              <w:t>2C.</w:t>
            </w:r>
            <w:r w:rsidR="007B1B58">
              <w:rPr>
                <w:rStyle w:val="Hyperlink"/>
                <w:noProof/>
              </w:rPr>
              <w:t xml:space="preserve"> </w:t>
            </w:r>
            <w:r w:rsidR="007B1B58" w:rsidRPr="003A50B0">
              <w:rPr>
                <w:rStyle w:val="Hyperlink"/>
                <w:noProof/>
              </w:rPr>
              <w:t>Emissions reduction activities</w:t>
            </w:r>
            <w:r w:rsidR="007B1B58">
              <w:rPr>
                <w:noProof/>
                <w:webHidden/>
              </w:rPr>
              <w:tab/>
            </w:r>
            <w:r w:rsidR="007B1B58">
              <w:rPr>
                <w:noProof/>
                <w:webHidden/>
              </w:rPr>
              <w:fldChar w:fldCharType="begin"/>
            </w:r>
            <w:r w:rsidR="007B1B58">
              <w:rPr>
                <w:noProof/>
                <w:webHidden/>
              </w:rPr>
              <w:instrText xml:space="preserve"> PAGEREF _Toc14679652 \h </w:instrText>
            </w:r>
            <w:r w:rsidR="007B1B58">
              <w:rPr>
                <w:noProof/>
                <w:webHidden/>
              </w:rPr>
            </w:r>
            <w:r w:rsidR="007B1B58">
              <w:rPr>
                <w:noProof/>
                <w:webHidden/>
              </w:rPr>
              <w:fldChar w:fldCharType="separate"/>
            </w:r>
            <w:r w:rsidR="007B1B58">
              <w:rPr>
                <w:noProof/>
                <w:webHidden/>
              </w:rPr>
              <w:t>13</w:t>
            </w:r>
            <w:r w:rsidR="007B1B58">
              <w:rPr>
                <w:noProof/>
                <w:webHidden/>
              </w:rPr>
              <w:fldChar w:fldCharType="end"/>
            </w:r>
          </w:hyperlink>
        </w:p>
        <w:p w14:paraId="188E806F" w14:textId="7B06968C" w:rsidR="007B1B58" w:rsidRDefault="007C5A36" w:rsidP="007B1B58">
          <w:pPr>
            <w:pStyle w:val="TOC2"/>
            <w:rPr>
              <w:noProof/>
            </w:rPr>
          </w:pPr>
          <w:hyperlink w:anchor="_Toc14679653" w:history="1">
            <w:r w:rsidR="007B1B58" w:rsidRPr="003A50B0">
              <w:rPr>
                <w:rStyle w:val="Hyperlink"/>
                <w:noProof/>
              </w:rPr>
              <w:t>3. Emissions summary</w:t>
            </w:r>
            <w:r w:rsidR="007B1B58">
              <w:rPr>
                <w:noProof/>
                <w:webHidden/>
              </w:rPr>
              <w:tab/>
            </w:r>
            <w:r w:rsidR="007B1B58">
              <w:rPr>
                <w:noProof/>
                <w:webHidden/>
              </w:rPr>
              <w:fldChar w:fldCharType="begin"/>
            </w:r>
            <w:r w:rsidR="007B1B58">
              <w:rPr>
                <w:noProof/>
                <w:webHidden/>
              </w:rPr>
              <w:instrText xml:space="preserve"> PAGEREF _Toc14679653 \h </w:instrText>
            </w:r>
            <w:r w:rsidR="007B1B58">
              <w:rPr>
                <w:noProof/>
                <w:webHidden/>
              </w:rPr>
            </w:r>
            <w:r w:rsidR="007B1B58">
              <w:rPr>
                <w:noProof/>
                <w:webHidden/>
              </w:rPr>
              <w:fldChar w:fldCharType="separate"/>
            </w:r>
            <w:r w:rsidR="007B1B58">
              <w:rPr>
                <w:noProof/>
                <w:webHidden/>
              </w:rPr>
              <w:t>14</w:t>
            </w:r>
            <w:r w:rsidR="007B1B58">
              <w:rPr>
                <w:noProof/>
                <w:webHidden/>
              </w:rPr>
              <w:fldChar w:fldCharType="end"/>
            </w:r>
          </w:hyperlink>
        </w:p>
        <w:p w14:paraId="2DE1DF04" w14:textId="5117E32B" w:rsidR="007B1B58" w:rsidRDefault="007C5A36">
          <w:pPr>
            <w:pStyle w:val="TOC3"/>
            <w:tabs>
              <w:tab w:val="right" w:leader="dot" w:pos="9016"/>
            </w:tabs>
            <w:rPr>
              <w:noProof/>
            </w:rPr>
          </w:pPr>
          <w:hyperlink w:anchor="_Toc14679654" w:history="1">
            <w:r w:rsidR="007B1B58" w:rsidRPr="003A50B0">
              <w:rPr>
                <w:rStyle w:val="Hyperlink"/>
                <w:noProof/>
              </w:rPr>
              <w:t>Table 2 – Emissions Summary – Melbourne Fashion Week 2018</w:t>
            </w:r>
            <w:r w:rsidR="007B1B58">
              <w:rPr>
                <w:noProof/>
                <w:webHidden/>
              </w:rPr>
              <w:tab/>
            </w:r>
            <w:r w:rsidR="007B1B58">
              <w:rPr>
                <w:noProof/>
                <w:webHidden/>
              </w:rPr>
              <w:fldChar w:fldCharType="begin"/>
            </w:r>
            <w:r w:rsidR="007B1B58">
              <w:rPr>
                <w:noProof/>
                <w:webHidden/>
              </w:rPr>
              <w:instrText xml:space="preserve"> PAGEREF _Toc14679654 \h </w:instrText>
            </w:r>
            <w:r w:rsidR="007B1B58">
              <w:rPr>
                <w:noProof/>
                <w:webHidden/>
              </w:rPr>
            </w:r>
            <w:r w:rsidR="007B1B58">
              <w:rPr>
                <w:noProof/>
                <w:webHidden/>
              </w:rPr>
              <w:fldChar w:fldCharType="separate"/>
            </w:r>
            <w:r w:rsidR="007B1B58">
              <w:rPr>
                <w:noProof/>
                <w:webHidden/>
              </w:rPr>
              <w:t>14</w:t>
            </w:r>
            <w:r w:rsidR="007B1B58">
              <w:rPr>
                <w:noProof/>
                <w:webHidden/>
              </w:rPr>
              <w:fldChar w:fldCharType="end"/>
            </w:r>
          </w:hyperlink>
        </w:p>
        <w:p w14:paraId="4D357B3D" w14:textId="46E8E051" w:rsidR="007B1B58" w:rsidRDefault="007C5A36">
          <w:pPr>
            <w:pStyle w:val="TOC3"/>
            <w:tabs>
              <w:tab w:val="right" w:leader="dot" w:pos="9016"/>
            </w:tabs>
            <w:rPr>
              <w:noProof/>
            </w:rPr>
          </w:pPr>
          <w:hyperlink w:anchor="_Toc14679655" w:history="1">
            <w:r w:rsidR="007B1B58" w:rsidRPr="003A50B0">
              <w:rPr>
                <w:rStyle w:val="Hyperlink"/>
                <w:noProof/>
              </w:rPr>
              <w:t>Table 3 – Emissions Summary – Melbourne Music Week 2018</w:t>
            </w:r>
            <w:r w:rsidR="007B1B58">
              <w:rPr>
                <w:noProof/>
                <w:webHidden/>
              </w:rPr>
              <w:tab/>
            </w:r>
            <w:r w:rsidR="007B1B58">
              <w:rPr>
                <w:noProof/>
                <w:webHidden/>
              </w:rPr>
              <w:fldChar w:fldCharType="begin"/>
            </w:r>
            <w:r w:rsidR="007B1B58">
              <w:rPr>
                <w:noProof/>
                <w:webHidden/>
              </w:rPr>
              <w:instrText xml:space="preserve"> PAGEREF _Toc14679655 \h </w:instrText>
            </w:r>
            <w:r w:rsidR="007B1B58">
              <w:rPr>
                <w:noProof/>
                <w:webHidden/>
              </w:rPr>
            </w:r>
            <w:r w:rsidR="007B1B58">
              <w:rPr>
                <w:noProof/>
                <w:webHidden/>
              </w:rPr>
              <w:fldChar w:fldCharType="separate"/>
            </w:r>
            <w:r w:rsidR="007B1B58">
              <w:rPr>
                <w:noProof/>
                <w:webHidden/>
              </w:rPr>
              <w:t>14</w:t>
            </w:r>
            <w:r w:rsidR="007B1B58">
              <w:rPr>
                <w:noProof/>
                <w:webHidden/>
              </w:rPr>
              <w:fldChar w:fldCharType="end"/>
            </w:r>
          </w:hyperlink>
        </w:p>
        <w:p w14:paraId="17C5A463" w14:textId="2BA0BEAC" w:rsidR="007B1B58" w:rsidRDefault="007C5A36">
          <w:pPr>
            <w:pStyle w:val="TOC3"/>
            <w:tabs>
              <w:tab w:val="right" w:leader="dot" w:pos="9016"/>
            </w:tabs>
            <w:rPr>
              <w:noProof/>
            </w:rPr>
          </w:pPr>
          <w:hyperlink w:anchor="_Toc14679656" w:history="1">
            <w:r w:rsidR="007B1B58" w:rsidRPr="003A50B0">
              <w:rPr>
                <w:rStyle w:val="Hyperlink"/>
                <w:noProof/>
              </w:rPr>
              <w:t>Table 3 – True up of Emissions</w:t>
            </w:r>
            <w:r w:rsidR="007B1B58">
              <w:rPr>
                <w:noProof/>
                <w:webHidden/>
              </w:rPr>
              <w:tab/>
            </w:r>
            <w:r w:rsidR="007B1B58">
              <w:rPr>
                <w:noProof/>
                <w:webHidden/>
              </w:rPr>
              <w:fldChar w:fldCharType="begin"/>
            </w:r>
            <w:r w:rsidR="007B1B58">
              <w:rPr>
                <w:noProof/>
                <w:webHidden/>
              </w:rPr>
              <w:instrText xml:space="preserve"> PAGEREF _Toc14679656 \h </w:instrText>
            </w:r>
            <w:r w:rsidR="007B1B58">
              <w:rPr>
                <w:noProof/>
                <w:webHidden/>
              </w:rPr>
            </w:r>
            <w:r w:rsidR="007B1B58">
              <w:rPr>
                <w:noProof/>
                <w:webHidden/>
              </w:rPr>
              <w:fldChar w:fldCharType="separate"/>
            </w:r>
            <w:r w:rsidR="007B1B58">
              <w:rPr>
                <w:noProof/>
                <w:webHidden/>
              </w:rPr>
              <w:t>15</w:t>
            </w:r>
            <w:r w:rsidR="007B1B58">
              <w:rPr>
                <w:noProof/>
                <w:webHidden/>
              </w:rPr>
              <w:fldChar w:fldCharType="end"/>
            </w:r>
          </w:hyperlink>
        </w:p>
        <w:p w14:paraId="1440198C" w14:textId="5E710521" w:rsidR="007B1B58" w:rsidRDefault="007C5A36" w:rsidP="007B1B58">
          <w:pPr>
            <w:pStyle w:val="TOC2"/>
            <w:rPr>
              <w:noProof/>
            </w:rPr>
          </w:pPr>
          <w:hyperlink w:anchor="_Toc14679657" w:history="1">
            <w:r w:rsidR="007B1B58" w:rsidRPr="003A50B0">
              <w:rPr>
                <w:rStyle w:val="Hyperlink"/>
                <w:noProof/>
              </w:rPr>
              <w:t>4. Eligible offset units</w:t>
            </w:r>
            <w:r w:rsidR="007B1B58">
              <w:rPr>
                <w:noProof/>
                <w:webHidden/>
              </w:rPr>
              <w:tab/>
            </w:r>
            <w:r w:rsidR="007B1B58">
              <w:rPr>
                <w:noProof/>
                <w:webHidden/>
              </w:rPr>
              <w:fldChar w:fldCharType="begin"/>
            </w:r>
            <w:r w:rsidR="007B1B58">
              <w:rPr>
                <w:noProof/>
                <w:webHidden/>
              </w:rPr>
              <w:instrText xml:space="preserve"> PAGEREF _Toc14679657 \h </w:instrText>
            </w:r>
            <w:r w:rsidR="007B1B58">
              <w:rPr>
                <w:noProof/>
                <w:webHidden/>
              </w:rPr>
            </w:r>
            <w:r w:rsidR="007B1B58">
              <w:rPr>
                <w:noProof/>
                <w:webHidden/>
              </w:rPr>
              <w:fldChar w:fldCharType="separate"/>
            </w:r>
            <w:r w:rsidR="007B1B58">
              <w:rPr>
                <w:noProof/>
                <w:webHidden/>
              </w:rPr>
              <w:t>16</w:t>
            </w:r>
            <w:r w:rsidR="007B1B58">
              <w:rPr>
                <w:noProof/>
                <w:webHidden/>
              </w:rPr>
              <w:fldChar w:fldCharType="end"/>
            </w:r>
          </w:hyperlink>
        </w:p>
        <w:p w14:paraId="7A20D072" w14:textId="6189EE82" w:rsidR="007B1B58" w:rsidRDefault="007C5A36">
          <w:pPr>
            <w:pStyle w:val="TOC3"/>
            <w:tabs>
              <w:tab w:val="left" w:pos="1100"/>
              <w:tab w:val="right" w:leader="dot" w:pos="9016"/>
            </w:tabs>
            <w:rPr>
              <w:noProof/>
            </w:rPr>
          </w:pPr>
          <w:hyperlink w:anchor="_Toc14679658" w:history="1">
            <w:r w:rsidR="007B1B58" w:rsidRPr="003A50B0">
              <w:rPr>
                <w:rStyle w:val="Hyperlink"/>
                <w:noProof/>
              </w:rPr>
              <w:t>4A.</w:t>
            </w:r>
            <w:r w:rsidR="007B1B58">
              <w:rPr>
                <w:noProof/>
              </w:rPr>
              <w:tab/>
            </w:r>
            <w:r w:rsidR="007B1B58" w:rsidRPr="003A50B0">
              <w:rPr>
                <w:rStyle w:val="Hyperlink"/>
                <w:noProof/>
              </w:rPr>
              <w:t>Offsets summary</w:t>
            </w:r>
            <w:r w:rsidR="007B1B58">
              <w:rPr>
                <w:noProof/>
                <w:webHidden/>
              </w:rPr>
              <w:tab/>
            </w:r>
            <w:r w:rsidR="007B1B58">
              <w:rPr>
                <w:noProof/>
                <w:webHidden/>
              </w:rPr>
              <w:fldChar w:fldCharType="begin"/>
            </w:r>
            <w:r w:rsidR="007B1B58">
              <w:rPr>
                <w:noProof/>
                <w:webHidden/>
              </w:rPr>
              <w:instrText xml:space="preserve"> PAGEREF _Toc14679658 \h </w:instrText>
            </w:r>
            <w:r w:rsidR="007B1B58">
              <w:rPr>
                <w:noProof/>
                <w:webHidden/>
              </w:rPr>
            </w:r>
            <w:r w:rsidR="007B1B58">
              <w:rPr>
                <w:noProof/>
                <w:webHidden/>
              </w:rPr>
              <w:fldChar w:fldCharType="separate"/>
            </w:r>
            <w:r w:rsidR="007B1B58">
              <w:rPr>
                <w:noProof/>
                <w:webHidden/>
              </w:rPr>
              <w:t>16</w:t>
            </w:r>
            <w:r w:rsidR="007B1B58">
              <w:rPr>
                <w:noProof/>
                <w:webHidden/>
              </w:rPr>
              <w:fldChar w:fldCharType="end"/>
            </w:r>
          </w:hyperlink>
        </w:p>
        <w:p w14:paraId="57E99548" w14:textId="6A88FC47" w:rsidR="007B1B58" w:rsidRDefault="007C5A36" w:rsidP="007B1B58">
          <w:pPr>
            <w:pStyle w:val="TOC2"/>
            <w:rPr>
              <w:noProof/>
            </w:rPr>
          </w:pPr>
          <w:hyperlink w:anchor="_Toc14679659" w:history="1">
            <w:r w:rsidR="007B1B58" w:rsidRPr="003A50B0">
              <w:rPr>
                <w:rStyle w:val="Hyperlink"/>
                <w:noProof/>
              </w:rPr>
              <w:t>5. Use of trade mark</w:t>
            </w:r>
            <w:r w:rsidR="007B1B58">
              <w:rPr>
                <w:noProof/>
                <w:webHidden/>
              </w:rPr>
              <w:tab/>
            </w:r>
            <w:r w:rsidR="007B1B58">
              <w:rPr>
                <w:noProof/>
                <w:webHidden/>
              </w:rPr>
              <w:fldChar w:fldCharType="begin"/>
            </w:r>
            <w:r w:rsidR="007B1B58">
              <w:rPr>
                <w:noProof/>
                <w:webHidden/>
              </w:rPr>
              <w:instrText xml:space="preserve"> PAGEREF _Toc14679659 \h </w:instrText>
            </w:r>
            <w:r w:rsidR="007B1B58">
              <w:rPr>
                <w:noProof/>
                <w:webHidden/>
              </w:rPr>
            </w:r>
            <w:r w:rsidR="007B1B58">
              <w:rPr>
                <w:noProof/>
                <w:webHidden/>
              </w:rPr>
              <w:fldChar w:fldCharType="separate"/>
            </w:r>
            <w:r w:rsidR="007B1B58">
              <w:rPr>
                <w:noProof/>
                <w:webHidden/>
              </w:rPr>
              <w:t>18</w:t>
            </w:r>
            <w:r w:rsidR="007B1B58">
              <w:rPr>
                <w:noProof/>
                <w:webHidden/>
              </w:rPr>
              <w:fldChar w:fldCharType="end"/>
            </w:r>
          </w:hyperlink>
        </w:p>
        <w:p w14:paraId="3710CC57" w14:textId="010A8070" w:rsidR="007B1B58" w:rsidRDefault="007C5A36">
          <w:pPr>
            <w:pStyle w:val="TOC3"/>
            <w:tabs>
              <w:tab w:val="right" w:leader="dot" w:pos="9016"/>
            </w:tabs>
            <w:rPr>
              <w:noProof/>
            </w:rPr>
          </w:pPr>
          <w:hyperlink w:anchor="_Toc14679660" w:history="1">
            <w:r w:rsidR="007B1B58" w:rsidRPr="003A50B0">
              <w:rPr>
                <w:rStyle w:val="Hyperlink"/>
                <w:noProof/>
              </w:rPr>
              <w:t>Table 5 – Trade mark register</w:t>
            </w:r>
            <w:r w:rsidR="007B1B58">
              <w:rPr>
                <w:noProof/>
                <w:webHidden/>
              </w:rPr>
              <w:tab/>
            </w:r>
            <w:r w:rsidR="007B1B58">
              <w:rPr>
                <w:noProof/>
                <w:webHidden/>
              </w:rPr>
              <w:fldChar w:fldCharType="begin"/>
            </w:r>
            <w:r w:rsidR="007B1B58">
              <w:rPr>
                <w:noProof/>
                <w:webHidden/>
              </w:rPr>
              <w:instrText xml:space="preserve"> PAGEREF _Toc14679660 \h </w:instrText>
            </w:r>
            <w:r w:rsidR="007B1B58">
              <w:rPr>
                <w:noProof/>
                <w:webHidden/>
              </w:rPr>
            </w:r>
            <w:r w:rsidR="007B1B58">
              <w:rPr>
                <w:noProof/>
                <w:webHidden/>
              </w:rPr>
              <w:fldChar w:fldCharType="separate"/>
            </w:r>
            <w:r w:rsidR="007B1B58">
              <w:rPr>
                <w:noProof/>
                <w:webHidden/>
              </w:rPr>
              <w:t>18</w:t>
            </w:r>
            <w:r w:rsidR="007B1B58">
              <w:rPr>
                <w:noProof/>
                <w:webHidden/>
              </w:rPr>
              <w:fldChar w:fldCharType="end"/>
            </w:r>
          </w:hyperlink>
        </w:p>
        <w:p w14:paraId="1A7BEFA3" w14:textId="3B50F7F7" w:rsidR="007B1B58" w:rsidRDefault="007C5A36" w:rsidP="007B1B58">
          <w:pPr>
            <w:pStyle w:val="TOC2"/>
            <w:rPr>
              <w:noProof/>
            </w:rPr>
          </w:pPr>
          <w:hyperlink w:anchor="_Toc14679661" w:history="1">
            <w:r w:rsidR="007B1B58" w:rsidRPr="003A50B0">
              <w:rPr>
                <w:rStyle w:val="Hyperlink"/>
                <w:noProof/>
              </w:rPr>
              <w:t>6. Additional activities</w:t>
            </w:r>
            <w:r w:rsidR="007B1B58">
              <w:rPr>
                <w:noProof/>
                <w:webHidden/>
              </w:rPr>
              <w:tab/>
            </w:r>
            <w:r w:rsidR="007B1B58">
              <w:rPr>
                <w:noProof/>
                <w:webHidden/>
              </w:rPr>
              <w:fldChar w:fldCharType="begin"/>
            </w:r>
            <w:r w:rsidR="007B1B58">
              <w:rPr>
                <w:noProof/>
                <w:webHidden/>
              </w:rPr>
              <w:instrText xml:space="preserve"> PAGEREF _Toc14679661 \h </w:instrText>
            </w:r>
            <w:r w:rsidR="007B1B58">
              <w:rPr>
                <w:noProof/>
                <w:webHidden/>
              </w:rPr>
            </w:r>
            <w:r w:rsidR="007B1B58">
              <w:rPr>
                <w:noProof/>
                <w:webHidden/>
              </w:rPr>
              <w:fldChar w:fldCharType="separate"/>
            </w:r>
            <w:r w:rsidR="007B1B58">
              <w:rPr>
                <w:noProof/>
                <w:webHidden/>
              </w:rPr>
              <w:t>18</w:t>
            </w:r>
            <w:r w:rsidR="007B1B58">
              <w:rPr>
                <w:noProof/>
                <w:webHidden/>
              </w:rPr>
              <w:fldChar w:fldCharType="end"/>
            </w:r>
          </w:hyperlink>
        </w:p>
        <w:p w14:paraId="3DDE2674" w14:textId="4BAFD34D" w:rsidR="007B1B58" w:rsidRDefault="007B1B58">
          <w:r>
            <w:rPr>
              <w:b/>
              <w:bCs/>
              <w:noProof/>
            </w:rPr>
            <w:fldChar w:fldCharType="end"/>
          </w:r>
        </w:p>
      </w:sdtContent>
    </w:sdt>
    <w:p w14:paraId="7A7EF948" w14:textId="368A53FA" w:rsidR="00CE658E" w:rsidRDefault="00CE658E">
      <w:pPr>
        <w:spacing w:line="280" w:lineRule="exact"/>
      </w:pPr>
      <w:r>
        <w:br w:type="page"/>
      </w:r>
    </w:p>
    <w:p w14:paraId="73C479AE" w14:textId="4EFFE42E" w:rsidR="0041790C" w:rsidRDefault="000F5BEB" w:rsidP="000F5BEB">
      <w:pPr>
        <w:pStyle w:val="Heading2"/>
        <w:numPr>
          <w:ilvl w:val="0"/>
          <w:numId w:val="13"/>
        </w:numPr>
      </w:pPr>
      <w:bookmarkStart w:id="10" w:name="_Toc14679644"/>
      <w:r>
        <w:lastRenderedPageBreak/>
        <w:t>Carbon neutral information</w:t>
      </w:r>
      <w:bookmarkEnd w:id="10"/>
    </w:p>
    <w:p w14:paraId="49E1A7AE" w14:textId="7520DA39" w:rsidR="000F5BEB" w:rsidRPr="004F6384" w:rsidRDefault="004F6384" w:rsidP="004F6384">
      <w:pPr>
        <w:pStyle w:val="Heading3"/>
      </w:pPr>
      <w:bookmarkStart w:id="11" w:name="_Toc14679645"/>
      <w:r w:rsidRPr="004F6384">
        <w:t>1A.</w:t>
      </w:r>
      <w:r w:rsidRPr="004F6384">
        <w:tab/>
        <w:t>Introduction</w:t>
      </w:r>
      <w:bookmarkEnd w:id="11"/>
    </w:p>
    <w:p w14:paraId="4C10E7A1" w14:textId="77777777" w:rsidR="004F6384" w:rsidRDefault="004F6384" w:rsidP="004F6384">
      <w:r w:rsidRPr="0037177F">
        <w:t>The C</w:t>
      </w:r>
      <w:r>
        <w:t xml:space="preserve">ity of Melbourne 2018 Large Event Portfolio which includes Melbourne Fashion Week 2018 and Melbourne Music Week 2018 is a certified carbon neutral event portfolio. </w:t>
      </w:r>
    </w:p>
    <w:p w14:paraId="3F92F536" w14:textId="77777777" w:rsidR="004F6384" w:rsidRDefault="004F6384" w:rsidP="004F6384">
      <w:r>
        <w:t>As a certified carbon neutral organisation, the City of Melbourne manages an active emissions reduction plan. This plan identifies City of Melbourne premier events as a material emissions source which prompted the carbon neutral certification of this large event portfolio.</w:t>
      </w:r>
    </w:p>
    <w:p w14:paraId="03D5FDC6" w14:textId="77777777" w:rsidR="004F6384" w:rsidRDefault="004F6384" w:rsidP="004F6384">
      <w:r w:rsidRPr="00817C64">
        <w:rPr>
          <w:lang w:val="en-AU"/>
        </w:rPr>
        <w:t>Greenhouse gas emissions considered include carbon dioxide (CO2), methane (CH4), nitrous oxide (N20), hydrofluorocarbons (HFCs), perfluorocarbons (PFCs), sulphur hexafluoride (SF6) and nitrogen trifluoride (NF3).</w:t>
      </w:r>
    </w:p>
    <w:p w14:paraId="437550A6" w14:textId="77777777" w:rsidR="004F6384" w:rsidRDefault="004F6384" w:rsidP="004F6384">
      <w:r>
        <w:t xml:space="preserve">There have been minor changes to the emissions boundary since the pre-event report. The key changes to methods of data collection are detailed in Table 1 below. </w:t>
      </w:r>
    </w:p>
    <w:p w14:paraId="06A3C13B" w14:textId="6199F2C4" w:rsidR="004F6384" w:rsidRDefault="004F6384" w:rsidP="004F6384">
      <w:r>
        <w:t>The City of Melbour</w:t>
      </w:r>
      <w:r w:rsidR="0021214F">
        <w:t>n</w:t>
      </w:r>
      <w:r>
        <w:t>e has followed the National Carbon Offset Standard for Events in the data collection and preparations of this report and used guiding Greenhouse Gas Protocol principles of; relevance, completeness, consistency, transparency and accuracy in the development of new methodologies for this Large Event Portfolio.</w:t>
      </w:r>
    </w:p>
    <w:p w14:paraId="3078BDFF" w14:textId="2E1F3A7A" w:rsidR="000F5BEB" w:rsidRDefault="004F6384" w:rsidP="004F6384">
      <w:pPr>
        <w:pStyle w:val="Heading3"/>
      </w:pPr>
      <w:bookmarkStart w:id="12" w:name="_Toc14679646"/>
      <w:r>
        <w:t>1B.</w:t>
      </w:r>
      <w:r>
        <w:tab/>
        <w:t>Changes to certification boundary</w:t>
      </w:r>
      <w:bookmarkEnd w:id="12"/>
    </w:p>
    <w:p w14:paraId="68918012" w14:textId="77777777" w:rsidR="004F6384" w:rsidRDefault="004F6384" w:rsidP="004F6384">
      <w:r>
        <w:t>Both Melbourne Fashion Week and Melbourne Music Week are compiled of a number of events and a variety of locations and have been broken down into ‘tiers’. Tier one events are managed directly by the City of Melbourne; tier two events are run by partners but are directly induced by the City of Melbourne and; tier three events are run by partners without any funding from the City of Melbourne</w:t>
      </w:r>
    </w:p>
    <w:p w14:paraId="49E11589" w14:textId="72573709" w:rsidR="004F6384" w:rsidRDefault="004F6384" w:rsidP="004F6384">
      <w:pPr>
        <w:pStyle w:val="Heading4"/>
      </w:pPr>
      <w:r>
        <w:t>Figure 1. Event tiers by scope</w:t>
      </w:r>
    </w:p>
    <w:p w14:paraId="16E739CD" w14:textId="5FB13DCE" w:rsidR="004F6384" w:rsidRDefault="0021214F" w:rsidP="004F6384">
      <w:r w:rsidRPr="0021214F">
        <w:t>The graphic represents the different emissions producing events and what is considered inside the scope of the City of Melbourne’s control and outside the scope of the City of Melbourne’s control. All events which are directly controlled by the City of Melbourne are in scope. Events run by partners but are induced by the City of Melbourne are also considered in scope. All other peripheral events which are run by partners under the banner of Melbourne fashion Week or Melbourne Music Week but are not otherwise influenced by the City of Melbourne are out of scope.</w:t>
      </w:r>
    </w:p>
    <w:p w14:paraId="1B27EE4B" w14:textId="12C5F21F" w:rsidR="004F6384" w:rsidRDefault="004F6384" w:rsidP="004F6384">
      <w:r>
        <w:t xml:space="preserve">Tier three events were considered out of scope in the pre-event reports for Melbourne Fashion Week (shown above) and Melbourne Music Week. Data was collected for emissions associated with tier one and two and proportionally applied to tier three events based on estimated attendance.  </w:t>
      </w:r>
    </w:p>
    <w:p w14:paraId="4EE64F66" w14:textId="5B5273C9" w:rsidR="004F6384" w:rsidRDefault="004F6384" w:rsidP="004F6384">
      <w:pPr>
        <w:pStyle w:val="Heading3"/>
      </w:pPr>
      <w:bookmarkStart w:id="13" w:name="_Toc14679647"/>
      <w:r>
        <w:t>1C.</w:t>
      </w:r>
      <w:r>
        <w:tab/>
        <w:t>Changes to calculation methodologies</w:t>
      </w:r>
      <w:bookmarkEnd w:id="13"/>
    </w:p>
    <w:p w14:paraId="0530BAEB" w14:textId="3B845ED0" w:rsidR="004F6384" w:rsidRDefault="004F6384" w:rsidP="004F6384">
      <w:pPr>
        <w:pStyle w:val="Heading4"/>
      </w:pPr>
      <w:r>
        <w:t>Table 1</w:t>
      </w:r>
      <w:r w:rsidR="005238B0">
        <w:t xml:space="preserve"> – </w:t>
      </w:r>
      <w:r>
        <w:t>Assumptions and extrapolations in calculation methodologies</w:t>
      </w:r>
    </w:p>
    <w:tbl>
      <w:tblPr>
        <w:tblStyle w:val="TableGrid"/>
        <w:tblW w:w="0" w:type="auto"/>
        <w:tblLook w:val="04A0" w:firstRow="1" w:lastRow="0" w:firstColumn="1" w:lastColumn="0" w:noHBand="0" w:noVBand="1"/>
      </w:tblPr>
      <w:tblGrid>
        <w:gridCol w:w="2376"/>
        <w:gridCol w:w="6344"/>
      </w:tblGrid>
      <w:tr w:rsidR="004F6384" w:rsidRPr="00BC3AA7" w14:paraId="2AF146A5" w14:textId="77777777" w:rsidTr="004F6384">
        <w:trPr>
          <w:cantSplit/>
          <w:trHeight w:val="480"/>
          <w:tblHeader/>
        </w:trPr>
        <w:tc>
          <w:tcPr>
            <w:tcW w:w="2376" w:type="dxa"/>
            <w:shd w:val="clear" w:color="auto" w:fill="auto"/>
            <w:noWrap/>
            <w:vAlign w:val="center"/>
            <w:hideMark/>
          </w:tcPr>
          <w:p w14:paraId="508FCD2B" w14:textId="77777777" w:rsidR="004F6384" w:rsidRPr="004F6384" w:rsidRDefault="004F6384" w:rsidP="004F6384">
            <w:pPr>
              <w:rPr>
                <w:b/>
                <w:bCs/>
              </w:rPr>
            </w:pPr>
            <w:bookmarkStart w:id="14" w:name="ColumnTitle_Assumptions_Extrapolations"/>
            <w:r w:rsidRPr="004F6384">
              <w:rPr>
                <w:b/>
                <w:bCs/>
              </w:rPr>
              <w:t>Impact Area</w:t>
            </w:r>
          </w:p>
        </w:tc>
        <w:tc>
          <w:tcPr>
            <w:tcW w:w="6344" w:type="dxa"/>
            <w:shd w:val="clear" w:color="auto" w:fill="auto"/>
            <w:noWrap/>
            <w:vAlign w:val="center"/>
            <w:hideMark/>
          </w:tcPr>
          <w:p w14:paraId="37BEB9F9" w14:textId="77777777" w:rsidR="004F6384" w:rsidRPr="004F6384" w:rsidRDefault="004F6384" w:rsidP="004F6384">
            <w:pPr>
              <w:rPr>
                <w:b/>
                <w:bCs/>
              </w:rPr>
            </w:pPr>
            <w:r w:rsidRPr="004F6384">
              <w:rPr>
                <w:b/>
                <w:bCs/>
              </w:rPr>
              <w:t>Description</w:t>
            </w:r>
          </w:p>
        </w:tc>
      </w:tr>
      <w:tr w:rsidR="004F6384" w:rsidRPr="00840600" w14:paraId="7785E758" w14:textId="77777777" w:rsidTr="004F6384">
        <w:trPr>
          <w:cantSplit/>
          <w:trHeight w:val="855"/>
          <w:tblHeader/>
        </w:trPr>
        <w:tc>
          <w:tcPr>
            <w:tcW w:w="2376" w:type="dxa"/>
            <w:hideMark/>
          </w:tcPr>
          <w:p w14:paraId="053002D5" w14:textId="77777777" w:rsidR="004F6384" w:rsidRPr="00840600" w:rsidRDefault="004F6384" w:rsidP="004F6384">
            <w:r w:rsidRPr="0065255A">
              <w:lastRenderedPageBreak/>
              <w:t>Catering - determining the proportion of meat dish</w:t>
            </w:r>
            <w:r>
              <w:t>es</w:t>
            </w:r>
            <w:r w:rsidRPr="0065255A">
              <w:t>, veg</w:t>
            </w:r>
            <w:r>
              <w:t>etarian</w:t>
            </w:r>
            <w:r w:rsidRPr="0065255A">
              <w:t xml:space="preserve"> dish</w:t>
            </w:r>
            <w:r>
              <w:t>es</w:t>
            </w:r>
            <w:r w:rsidRPr="0065255A">
              <w:t xml:space="preserve"> and dessert for events where data </w:t>
            </w:r>
            <w:r>
              <w:t xml:space="preserve">received </w:t>
            </w:r>
            <w:r w:rsidRPr="0065255A">
              <w:t>did not</w:t>
            </w:r>
            <w:r>
              <w:t xml:space="preserve"> provide the full breakdown of meal types</w:t>
            </w:r>
          </w:p>
        </w:tc>
        <w:tc>
          <w:tcPr>
            <w:tcW w:w="6344" w:type="dxa"/>
            <w:hideMark/>
          </w:tcPr>
          <w:p w14:paraId="1DE96585" w14:textId="77777777" w:rsidR="004F6384" w:rsidRDefault="004F6384" w:rsidP="004F6384">
            <w:pPr>
              <w:spacing w:afterLines="60" w:after="144"/>
            </w:pPr>
            <w:r w:rsidRPr="00840600">
              <w:t>Percentages were determi</w:t>
            </w:r>
            <w:r>
              <w:t>ned by counting the number of meat, vegetarian and d</w:t>
            </w:r>
            <w:r w:rsidRPr="00840600">
              <w:t xml:space="preserve">essert dishes on two menus used at </w:t>
            </w:r>
            <w:r>
              <w:t>Melbourne Fashion Week</w:t>
            </w:r>
            <w:r w:rsidRPr="00840600">
              <w:t xml:space="preserve"> hospitality events. </w:t>
            </w:r>
          </w:p>
          <w:p w14:paraId="1DE86560" w14:textId="77777777" w:rsidR="004F6384" w:rsidRPr="00840600" w:rsidRDefault="004F6384" w:rsidP="004F6384">
            <w:pPr>
              <w:spacing w:afterLines="60" w:after="144"/>
            </w:pPr>
            <w:r w:rsidRPr="00840600">
              <w:t xml:space="preserve">Total catering spend </w:t>
            </w:r>
            <w:r>
              <w:t xml:space="preserve">across the whole event </w:t>
            </w:r>
            <w:r w:rsidRPr="00840600">
              <w:t>was then divided by these percentages</w:t>
            </w:r>
            <w:r>
              <w:t>.</w:t>
            </w:r>
          </w:p>
        </w:tc>
      </w:tr>
      <w:tr w:rsidR="004F6384" w:rsidRPr="00840600" w14:paraId="0C8EE9A1" w14:textId="77777777" w:rsidTr="004F6384">
        <w:trPr>
          <w:cantSplit/>
          <w:trHeight w:val="1425"/>
          <w:tblHeader/>
        </w:trPr>
        <w:tc>
          <w:tcPr>
            <w:tcW w:w="2376" w:type="dxa"/>
            <w:hideMark/>
          </w:tcPr>
          <w:p w14:paraId="67090225" w14:textId="77777777" w:rsidR="004F6384" w:rsidRPr="00840600" w:rsidRDefault="004F6384" w:rsidP="004F6384">
            <w:r>
              <w:t xml:space="preserve">Melbourne Fashion Week: </w:t>
            </w:r>
            <w:r>
              <w:br/>
            </w:r>
            <w:r w:rsidRPr="00840600">
              <w:t>Beverages - determining the proportion of wine and beer</w:t>
            </w:r>
            <w:r>
              <w:t>.</w:t>
            </w:r>
          </w:p>
        </w:tc>
        <w:tc>
          <w:tcPr>
            <w:tcW w:w="6344" w:type="dxa"/>
            <w:hideMark/>
          </w:tcPr>
          <w:p w14:paraId="5FA423ED" w14:textId="77777777" w:rsidR="004F6384" w:rsidRDefault="004F6384" w:rsidP="004F6384">
            <w:pPr>
              <w:spacing w:afterLines="60" w:after="144"/>
            </w:pPr>
            <w:r w:rsidRPr="00840600">
              <w:t>Where a detaile</w:t>
            </w:r>
            <w:r>
              <w:t>d breakdown of beverage types was</w:t>
            </w:r>
            <w:r w:rsidRPr="00840600">
              <w:t xml:space="preserve"> not </w:t>
            </w:r>
            <w:r>
              <w:t>given on an invoice</w:t>
            </w:r>
            <w:r w:rsidRPr="00840600">
              <w:t xml:space="preserve">, a proportional split between beer and wine was assumed. </w:t>
            </w:r>
          </w:p>
          <w:p w14:paraId="370316D0" w14:textId="77777777" w:rsidR="004F6384" w:rsidRPr="00840600" w:rsidRDefault="004F6384" w:rsidP="004F6384">
            <w:pPr>
              <w:spacing w:afterLines="60" w:after="144"/>
            </w:pPr>
            <w:r w:rsidRPr="00840600">
              <w:t>As three wine</w:t>
            </w:r>
            <w:r>
              <w:t>s</w:t>
            </w:r>
            <w:r w:rsidRPr="00840600">
              <w:t xml:space="preserve"> are often </w:t>
            </w:r>
            <w:r>
              <w:t xml:space="preserve">served </w:t>
            </w:r>
            <w:r w:rsidRPr="00840600">
              <w:t>(red, white and sparkling)</w:t>
            </w:r>
            <w:r>
              <w:t xml:space="preserve"> at a Melbourne Fashion Week event, </w:t>
            </w:r>
            <w:r w:rsidRPr="00840600">
              <w:t>ea</w:t>
            </w:r>
            <w:r>
              <w:t>ch type has been attributed 25%. The remaining 25%</w:t>
            </w:r>
            <w:r w:rsidRPr="00840600">
              <w:t xml:space="preserve"> is a</w:t>
            </w:r>
            <w:r>
              <w:t>ttributed to beer.</w:t>
            </w:r>
          </w:p>
        </w:tc>
      </w:tr>
      <w:tr w:rsidR="004F6384" w:rsidRPr="00840600" w14:paraId="4BB31FDA" w14:textId="77777777" w:rsidTr="004F6384">
        <w:trPr>
          <w:cantSplit/>
          <w:trHeight w:val="1852"/>
          <w:tblHeader/>
        </w:trPr>
        <w:tc>
          <w:tcPr>
            <w:tcW w:w="2376" w:type="dxa"/>
            <w:hideMark/>
          </w:tcPr>
          <w:p w14:paraId="61A58494" w14:textId="77777777" w:rsidR="004F6384" w:rsidRPr="00840600" w:rsidRDefault="004F6384" w:rsidP="004F6384">
            <w:r>
              <w:t>Melbourne Fashion Week:</w:t>
            </w:r>
            <w:r>
              <w:br/>
            </w:r>
            <w:r w:rsidRPr="00840600">
              <w:t>Beverages - determining the proportion between alcoholic and non-alcoholic</w:t>
            </w:r>
          </w:p>
        </w:tc>
        <w:tc>
          <w:tcPr>
            <w:tcW w:w="6344" w:type="dxa"/>
            <w:hideMark/>
          </w:tcPr>
          <w:p w14:paraId="25DBF95C" w14:textId="77777777" w:rsidR="004F6384" w:rsidRDefault="004F6384" w:rsidP="004F6384">
            <w:pPr>
              <w:spacing w:afterLines="60" w:after="144"/>
            </w:pPr>
            <w:r w:rsidRPr="00840600">
              <w:t xml:space="preserve">Actual </w:t>
            </w:r>
            <w:r>
              <w:t>data on</w:t>
            </w:r>
            <w:r w:rsidRPr="00840600">
              <w:t xml:space="preserve"> the spend on alcoholic and non-alcoholic beverages was available </w:t>
            </w:r>
            <w:r>
              <w:t xml:space="preserve">for two main bars/providers for Melbourne Fashion Week. </w:t>
            </w:r>
          </w:p>
          <w:p w14:paraId="02F9FEDD" w14:textId="77777777" w:rsidR="004F6384" w:rsidRPr="00840600" w:rsidRDefault="004F6384" w:rsidP="004F6384">
            <w:pPr>
              <w:spacing w:afterLines="60" w:after="144"/>
            </w:pPr>
            <w:r>
              <w:t>This proportional split (91.65% alcoholic and 8.37% non-alcoholic)</w:t>
            </w:r>
            <w:r w:rsidRPr="00840600">
              <w:t xml:space="preserve"> has been applied to </w:t>
            </w:r>
            <w:r>
              <w:t>all other spend on beverages for Melbourne Fashion Week.</w:t>
            </w:r>
          </w:p>
        </w:tc>
      </w:tr>
      <w:tr w:rsidR="004F6384" w:rsidRPr="0056562E" w14:paraId="2F912141" w14:textId="77777777" w:rsidTr="004F6384">
        <w:trPr>
          <w:cantSplit/>
          <w:trHeight w:val="2280"/>
          <w:tblHeader/>
        </w:trPr>
        <w:tc>
          <w:tcPr>
            <w:tcW w:w="2376" w:type="dxa"/>
            <w:noWrap/>
            <w:hideMark/>
          </w:tcPr>
          <w:p w14:paraId="31D9D78C" w14:textId="77777777" w:rsidR="004F6384" w:rsidRPr="0056562E" w:rsidRDefault="004F6384" w:rsidP="004F6384">
            <w:pPr>
              <w:rPr>
                <w:rFonts w:eastAsia="Times New Roman" w:cs="Arial"/>
                <w:color w:val="000000"/>
                <w:lang w:val="en-AU" w:eastAsia="en-AU"/>
              </w:rPr>
            </w:pPr>
            <w:r>
              <w:rPr>
                <w:rFonts w:eastAsia="Times New Roman" w:cs="Arial"/>
                <w:color w:val="000000"/>
                <w:lang w:val="en-AU" w:eastAsia="en-AU"/>
              </w:rPr>
              <w:t>Melbourne Music Week:</w:t>
            </w:r>
            <w:r>
              <w:rPr>
                <w:rFonts w:eastAsia="Times New Roman" w:cs="Arial"/>
                <w:color w:val="000000"/>
                <w:lang w:val="en-AU" w:eastAsia="en-AU"/>
              </w:rPr>
              <w:br/>
            </w:r>
            <w:r w:rsidRPr="0056562E">
              <w:rPr>
                <w:rFonts w:eastAsia="Times New Roman" w:cs="Arial"/>
                <w:color w:val="000000"/>
                <w:lang w:val="en-AU" w:eastAsia="en-AU"/>
              </w:rPr>
              <w:t>Beverages</w:t>
            </w:r>
            <w:r>
              <w:rPr>
                <w:rFonts w:eastAsia="Times New Roman" w:cs="Arial"/>
                <w:color w:val="000000"/>
                <w:lang w:val="en-AU" w:eastAsia="en-AU"/>
              </w:rPr>
              <w:t xml:space="preserve"> - wine and s</w:t>
            </w:r>
            <w:r w:rsidRPr="0056562E">
              <w:rPr>
                <w:rFonts w:eastAsia="Times New Roman" w:cs="Arial"/>
                <w:color w:val="000000"/>
                <w:lang w:val="en-AU" w:eastAsia="en-AU"/>
              </w:rPr>
              <w:t>pirit attribution factor</w:t>
            </w:r>
          </w:p>
        </w:tc>
        <w:tc>
          <w:tcPr>
            <w:tcW w:w="6344" w:type="dxa"/>
            <w:hideMark/>
          </w:tcPr>
          <w:p w14:paraId="5C9A589A" w14:textId="0440A593" w:rsidR="004F6384" w:rsidRDefault="004F6384" w:rsidP="004F6384">
            <w:pPr>
              <w:spacing w:afterLines="60" w:after="144"/>
              <w:rPr>
                <w:rFonts w:eastAsia="Times New Roman" w:cs="Arial"/>
                <w:color w:val="000000"/>
                <w:lang w:val="en-AU" w:eastAsia="en-AU"/>
              </w:rPr>
            </w:pPr>
            <w:r>
              <w:rPr>
                <w:rFonts w:eastAsia="Times New Roman" w:cs="Arial"/>
                <w:color w:val="000000"/>
                <w:lang w:val="en-AU" w:eastAsia="en-AU"/>
              </w:rPr>
              <w:t>The d</w:t>
            </w:r>
            <w:r w:rsidRPr="0056562E">
              <w:rPr>
                <w:rFonts w:eastAsia="Times New Roman" w:cs="Arial"/>
                <w:color w:val="000000"/>
                <w:lang w:val="en-AU" w:eastAsia="en-AU"/>
              </w:rPr>
              <w:t>ata collection templates used by individual</w:t>
            </w:r>
            <w:r>
              <w:rPr>
                <w:rFonts w:eastAsia="Times New Roman" w:cs="Arial"/>
                <w:color w:val="000000"/>
                <w:lang w:val="en-AU" w:eastAsia="en-AU"/>
              </w:rPr>
              <w:t xml:space="preserve"> Music Week</w:t>
            </w:r>
            <w:r w:rsidRPr="0056562E">
              <w:rPr>
                <w:rFonts w:eastAsia="Times New Roman" w:cs="Arial"/>
                <w:color w:val="000000"/>
                <w:lang w:val="en-AU" w:eastAsia="en-AU"/>
              </w:rPr>
              <w:t xml:space="preserve"> events d</w:t>
            </w:r>
            <w:r>
              <w:rPr>
                <w:rFonts w:eastAsia="Times New Roman" w:cs="Arial"/>
                <w:color w:val="000000"/>
                <w:lang w:val="en-AU" w:eastAsia="en-AU"/>
              </w:rPr>
              <w:t>id</w:t>
            </w:r>
            <w:r w:rsidRPr="0056562E">
              <w:rPr>
                <w:rFonts w:eastAsia="Times New Roman" w:cs="Arial"/>
                <w:color w:val="000000"/>
                <w:lang w:val="en-AU" w:eastAsia="en-AU"/>
              </w:rPr>
              <w:t xml:space="preserve"> not separate wine and spirits </w:t>
            </w:r>
            <w:r>
              <w:rPr>
                <w:rFonts w:eastAsia="Times New Roman" w:cs="Arial"/>
                <w:color w:val="000000"/>
                <w:lang w:val="en-AU" w:eastAsia="en-AU"/>
              </w:rPr>
              <w:t>(</w:t>
            </w:r>
            <w:r w:rsidRPr="0056562E">
              <w:rPr>
                <w:rFonts w:eastAsia="Times New Roman" w:cs="Arial"/>
                <w:color w:val="000000"/>
                <w:lang w:val="en-AU" w:eastAsia="en-AU"/>
              </w:rPr>
              <w:t>as they have the same emissions factor</w:t>
            </w:r>
            <w:r>
              <w:rPr>
                <w:rFonts w:eastAsia="Times New Roman" w:cs="Arial"/>
                <w:color w:val="000000"/>
                <w:lang w:val="en-AU" w:eastAsia="en-AU"/>
              </w:rPr>
              <w:t>)</w:t>
            </w:r>
            <w:r w:rsidRPr="0056562E">
              <w:rPr>
                <w:rFonts w:eastAsia="Times New Roman" w:cs="Arial"/>
                <w:color w:val="000000"/>
                <w:lang w:val="en-AU" w:eastAsia="en-AU"/>
              </w:rPr>
              <w:t xml:space="preserve">. </w:t>
            </w:r>
            <w:r>
              <w:rPr>
                <w:rFonts w:eastAsia="Times New Roman" w:cs="Arial"/>
                <w:color w:val="000000"/>
                <w:lang w:val="en-AU" w:eastAsia="en-AU"/>
              </w:rPr>
              <w:br/>
            </w:r>
            <w:r w:rsidRPr="0056562E">
              <w:rPr>
                <w:rFonts w:eastAsia="Times New Roman" w:cs="Arial"/>
                <w:color w:val="000000"/>
                <w:lang w:val="en-AU" w:eastAsia="en-AU"/>
              </w:rPr>
              <w:t>The Hub bar, which acc</w:t>
            </w:r>
            <w:r>
              <w:rPr>
                <w:rFonts w:eastAsia="Times New Roman" w:cs="Arial"/>
                <w:color w:val="000000"/>
                <w:lang w:val="en-AU" w:eastAsia="en-AU"/>
              </w:rPr>
              <w:t xml:space="preserve">ounts for most beverage sales, provided all beverage data by item, </w:t>
            </w:r>
            <w:r w:rsidRPr="0056562E">
              <w:rPr>
                <w:rFonts w:eastAsia="Times New Roman" w:cs="Arial"/>
                <w:color w:val="000000"/>
                <w:lang w:val="en-AU" w:eastAsia="en-AU"/>
              </w:rPr>
              <w:t>so we are able to accurately report</w:t>
            </w:r>
            <w:r>
              <w:rPr>
                <w:rFonts w:eastAsia="Times New Roman" w:cs="Arial"/>
                <w:color w:val="000000"/>
                <w:lang w:val="en-AU" w:eastAsia="en-AU"/>
              </w:rPr>
              <w:t xml:space="preserve"> the proportional split between wine and spirits, which was 80% spirits to 20% wine.  </w:t>
            </w:r>
          </w:p>
          <w:p w14:paraId="20CE90AE" w14:textId="77777777" w:rsidR="004F6384" w:rsidRPr="0056562E" w:rsidRDefault="004F6384" w:rsidP="004F6384">
            <w:pPr>
              <w:spacing w:afterLines="60" w:after="144"/>
              <w:rPr>
                <w:rFonts w:eastAsia="Times New Roman" w:cs="Arial"/>
                <w:color w:val="000000"/>
                <w:lang w:val="en-AU" w:eastAsia="en-AU"/>
              </w:rPr>
            </w:pPr>
            <w:r>
              <w:rPr>
                <w:rFonts w:eastAsia="Times New Roman" w:cs="Arial"/>
                <w:color w:val="000000"/>
                <w:lang w:val="en-AU" w:eastAsia="en-AU"/>
              </w:rPr>
              <w:t>This</w:t>
            </w:r>
            <w:r w:rsidRPr="0056562E">
              <w:rPr>
                <w:rFonts w:eastAsia="Times New Roman" w:cs="Arial"/>
                <w:color w:val="000000"/>
                <w:lang w:val="en-AU" w:eastAsia="en-AU"/>
              </w:rPr>
              <w:t xml:space="preserve"> proportional split between wine and spirit</w:t>
            </w:r>
            <w:r>
              <w:rPr>
                <w:rFonts w:eastAsia="Times New Roman" w:cs="Arial"/>
                <w:color w:val="000000"/>
                <w:lang w:val="en-AU" w:eastAsia="en-AU"/>
              </w:rPr>
              <w:t>s</w:t>
            </w:r>
            <w:r w:rsidRPr="0056562E">
              <w:rPr>
                <w:rFonts w:eastAsia="Times New Roman" w:cs="Arial"/>
                <w:color w:val="000000"/>
                <w:lang w:val="en-AU" w:eastAsia="en-AU"/>
              </w:rPr>
              <w:t xml:space="preserve"> has been applied to all wine/spirit figures from other bars where they were reported together.  </w:t>
            </w:r>
          </w:p>
        </w:tc>
      </w:tr>
      <w:tr w:rsidR="004F6384" w:rsidRPr="0056562E" w14:paraId="7295A06A" w14:textId="77777777" w:rsidTr="004F6384">
        <w:trPr>
          <w:cantSplit/>
          <w:trHeight w:val="1920"/>
          <w:tblHeader/>
        </w:trPr>
        <w:tc>
          <w:tcPr>
            <w:tcW w:w="2376" w:type="dxa"/>
            <w:noWrap/>
            <w:hideMark/>
          </w:tcPr>
          <w:p w14:paraId="6DB57D5F" w14:textId="77777777" w:rsidR="004F6384" w:rsidRDefault="004F6384" w:rsidP="004F6384">
            <w:pPr>
              <w:rPr>
                <w:rFonts w:eastAsia="Times New Roman" w:cs="Arial"/>
                <w:color w:val="000000"/>
                <w:lang w:val="en-AU" w:eastAsia="en-AU"/>
              </w:rPr>
            </w:pPr>
            <w:r>
              <w:rPr>
                <w:rFonts w:eastAsia="Times New Roman" w:cs="Arial"/>
                <w:color w:val="000000"/>
                <w:lang w:val="en-AU" w:eastAsia="en-AU"/>
              </w:rPr>
              <w:t xml:space="preserve">Melbourne Music Week: </w:t>
            </w:r>
          </w:p>
          <w:p w14:paraId="66979FA5" w14:textId="77777777" w:rsidR="004F6384" w:rsidRPr="0056562E" w:rsidRDefault="004F6384" w:rsidP="004F6384">
            <w:pPr>
              <w:rPr>
                <w:rFonts w:eastAsia="Times New Roman" w:cs="Arial"/>
                <w:color w:val="000000"/>
                <w:lang w:val="en-AU" w:eastAsia="en-AU"/>
              </w:rPr>
            </w:pPr>
            <w:r w:rsidRPr="0056562E">
              <w:rPr>
                <w:rFonts w:eastAsia="Times New Roman" w:cs="Arial"/>
                <w:color w:val="000000"/>
                <w:lang w:val="en-AU" w:eastAsia="en-AU"/>
              </w:rPr>
              <w:t>Beverages</w:t>
            </w:r>
            <w:r>
              <w:rPr>
                <w:rFonts w:eastAsia="Times New Roman" w:cs="Arial"/>
                <w:color w:val="000000"/>
                <w:lang w:val="en-AU" w:eastAsia="en-AU"/>
              </w:rPr>
              <w:t xml:space="preserve"> - </w:t>
            </w:r>
            <w:r w:rsidRPr="0056562E">
              <w:rPr>
                <w:rFonts w:eastAsia="Times New Roman" w:cs="Arial"/>
                <w:color w:val="000000"/>
                <w:lang w:val="en-AU" w:eastAsia="en-AU"/>
              </w:rPr>
              <w:t>Spirit and soft drink attribution factor</w:t>
            </w:r>
          </w:p>
        </w:tc>
        <w:tc>
          <w:tcPr>
            <w:tcW w:w="6344" w:type="dxa"/>
            <w:hideMark/>
          </w:tcPr>
          <w:p w14:paraId="61D459C7" w14:textId="77777777" w:rsidR="004F6384" w:rsidRDefault="004F6384" w:rsidP="004F6384">
            <w:pPr>
              <w:spacing w:afterLines="60" w:after="144"/>
              <w:rPr>
                <w:rFonts w:eastAsia="Times New Roman" w:cs="Arial"/>
                <w:color w:val="000000"/>
                <w:lang w:val="en-AU" w:eastAsia="en-AU"/>
              </w:rPr>
            </w:pPr>
            <w:r w:rsidRPr="0056562E">
              <w:rPr>
                <w:rFonts w:eastAsia="Times New Roman" w:cs="Arial"/>
                <w:color w:val="000000"/>
                <w:lang w:val="en-AU" w:eastAsia="en-AU"/>
              </w:rPr>
              <w:t xml:space="preserve">When spirits are sold at a bar, there is most often a soft-drink element served with them. </w:t>
            </w:r>
            <w:r>
              <w:rPr>
                <w:rFonts w:eastAsia="Times New Roman" w:cs="Arial"/>
                <w:color w:val="000000"/>
                <w:lang w:val="en-AU" w:eastAsia="en-AU"/>
              </w:rPr>
              <w:t xml:space="preserve">As a result, </w:t>
            </w:r>
            <w:r w:rsidRPr="0056562E">
              <w:rPr>
                <w:rFonts w:eastAsia="Times New Roman" w:cs="Arial"/>
                <w:color w:val="000000"/>
                <w:lang w:val="en-AU" w:eastAsia="en-AU"/>
              </w:rPr>
              <w:t>attribut</w:t>
            </w:r>
            <w:r>
              <w:rPr>
                <w:rFonts w:eastAsia="Times New Roman" w:cs="Arial"/>
                <w:color w:val="000000"/>
                <w:lang w:val="en-AU" w:eastAsia="en-AU"/>
              </w:rPr>
              <w:t>ing</w:t>
            </w:r>
            <w:r w:rsidRPr="0056562E">
              <w:rPr>
                <w:rFonts w:eastAsia="Times New Roman" w:cs="Arial"/>
                <w:color w:val="000000"/>
                <w:lang w:val="en-AU" w:eastAsia="en-AU"/>
              </w:rPr>
              <w:t xml:space="preserve"> the whole cost of the beverage to a 'spirit' emissions factor would not be representative</w:t>
            </w:r>
            <w:r>
              <w:rPr>
                <w:rFonts w:eastAsia="Times New Roman" w:cs="Arial"/>
                <w:color w:val="000000"/>
                <w:lang w:val="en-AU" w:eastAsia="en-AU"/>
              </w:rPr>
              <w:t xml:space="preserve"> of the drink and would over-estimate the emissions</w:t>
            </w:r>
            <w:r w:rsidRPr="0056562E">
              <w:rPr>
                <w:rFonts w:eastAsia="Times New Roman" w:cs="Arial"/>
                <w:color w:val="000000"/>
                <w:lang w:val="en-AU" w:eastAsia="en-AU"/>
              </w:rPr>
              <w:t>.</w:t>
            </w:r>
          </w:p>
          <w:p w14:paraId="4BD6E388" w14:textId="77777777" w:rsidR="004F6384" w:rsidRDefault="004F6384" w:rsidP="004F6384">
            <w:pPr>
              <w:spacing w:afterLines="60" w:after="144"/>
              <w:rPr>
                <w:rFonts w:eastAsia="Times New Roman" w:cs="Arial"/>
                <w:color w:val="000000"/>
                <w:lang w:val="en-AU" w:eastAsia="en-AU"/>
              </w:rPr>
            </w:pPr>
            <w:r w:rsidRPr="0056562E">
              <w:rPr>
                <w:rFonts w:eastAsia="Times New Roman" w:cs="Arial"/>
                <w:color w:val="000000"/>
                <w:lang w:val="en-AU" w:eastAsia="en-AU"/>
              </w:rPr>
              <w:t xml:space="preserve">To reflect the soft drink element, all reported 'spirit' sales figures have been attributed 80% to </w:t>
            </w:r>
            <w:r>
              <w:rPr>
                <w:rFonts w:eastAsia="Times New Roman" w:cs="Arial"/>
                <w:color w:val="000000"/>
                <w:lang w:val="en-AU" w:eastAsia="en-AU"/>
              </w:rPr>
              <w:t xml:space="preserve">the </w:t>
            </w:r>
            <w:r w:rsidRPr="0056562E">
              <w:rPr>
                <w:rFonts w:eastAsia="Times New Roman" w:cs="Arial"/>
                <w:color w:val="000000"/>
                <w:lang w:val="en-AU" w:eastAsia="en-AU"/>
              </w:rPr>
              <w:t>spirit emissions factor and 20% to</w:t>
            </w:r>
            <w:r>
              <w:rPr>
                <w:rFonts w:eastAsia="Times New Roman" w:cs="Arial"/>
                <w:color w:val="000000"/>
                <w:lang w:val="en-AU" w:eastAsia="en-AU"/>
              </w:rPr>
              <w:t xml:space="preserve"> the</w:t>
            </w:r>
            <w:r w:rsidRPr="0056562E">
              <w:rPr>
                <w:rFonts w:eastAsia="Times New Roman" w:cs="Arial"/>
                <w:color w:val="000000"/>
                <w:lang w:val="en-AU" w:eastAsia="en-AU"/>
              </w:rPr>
              <w:t xml:space="preserve"> soft drink (non-alcoholic) emissions factor.</w:t>
            </w:r>
          </w:p>
          <w:p w14:paraId="73BB46BC" w14:textId="77777777" w:rsidR="004F6384" w:rsidRPr="0056562E" w:rsidRDefault="004F6384" w:rsidP="004F6384">
            <w:pPr>
              <w:spacing w:afterLines="60" w:after="144"/>
              <w:rPr>
                <w:rFonts w:eastAsia="Times New Roman" w:cs="Arial"/>
                <w:color w:val="000000"/>
                <w:lang w:val="en-AU" w:eastAsia="en-AU"/>
              </w:rPr>
            </w:pPr>
            <w:r w:rsidRPr="00F36368">
              <w:rPr>
                <w:rFonts w:eastAsia="Times New Roman" w:cs="Arial"/>
                <w:color w:val="000000"/>
                <w:lang w:eastAsia="en-AU"/>
              </w:rPr>
              <w:t>This proportional split is based on the estimated dollar value of spirits and soft drink per drink, rather than the volume</w:t>
            </w:r>
          </w:p>
        </w:tc>
      </w:tr>
      <w:tr w:rsidR="004F6384" w:rsidRPr="00391546" w14:paraId="3B889FC0" w14:textId="77777777" w:rsidTr="004F6384">
        <w:trPr>
          <w:cantSplit/>
          <w:trHeight w:val="987"/>
          <w:tblHeader/>
        </w:trPr>
        <w:tc>
          <w:tcPr>
            <w:tcW w:w="2376" w:type="dxa"/>
            <w:hideMark/>
          </w:tcPr>
          <w:p w14:paraId="7138081A" w14:textId="77777777" w:rsidR="004F6384" w:rsidRPr="00391546" w:rsidRDefault="004F6384" w:rsidP="004F6384">
            <w:r w:rsidRPr="00391546">
              <w:lastRenderedPageBreak/>
              <w:t>Patron Transport - determining what proportion of a patrons transport emissions should be attributed to Melbourne Fashion Week/Melbourne Music Week emissions inventory - The Attribution Factor</w:t>
            </w:r>
          </w:p>
        </w:tc>
        <w:tc>
          <w:tcPr>
            <w:tcW w:w="6344" w:type="dxa"/>
            <w:hideMark/>
          </w:tcPr>
          <w:p w14:paraId="0D9BC88E" w14:textId="77777777" w:rsidR="004F6384" w:rsidRPr="00391546" w:rsidRDefault="004F6384" w:rsidP="004F6384">
            <w:pPr>
              <w:spacing w:afterLines="60" w:after="144"/>
            </w:pPr>
            <w:r w:rsidRPr="00391546">
              <w:t>Patron transport was the single largest emission source for both Melbourne Fashion Week and Melbourne Music Week during 2018.</w:t>
            </w:r>
          </w:p>
          <w:p w14:paraId="2C69B3D9" w14:textId="77777777" w:rsidR="004F6384" w:rsidRPr="00391546" w:rsidRDefault="004F6384" w:rsidP="004F6384">
            <w:pPr>
              <w:spacing w:afterLines="60" w:after="144"/>
            </w:pPr>
            <w:r w:rsidRPr="00391546">
              <w:t>It was reported that 96,742 patrons attended Melbourne Fashion Week and 50,413 attended Melbourne Music Week. Of these, only 10,106 (Fashion Week) and 12,990 (Music Week) purchased a ticket.</w:t>
            </w:r>
          </w:p>
          <w:p w14:paraId="6E255183" w14:textId="77777777" w:rsidR="004F6384" w:rsidRPr="00391546" w:rsidRDefault="004F6384" w:rsidP="004F6384">
            <w:pPr>
              <w:spacing w:afterLines="60" w:after="144"/>
            </w:pPr>
            <w:r w:rsidRPr="00391546">
              <w:t xml:space="preserve">Other attendee types include; patrons with complimentary tickets, patrons attending other free events and, patrons observed at on-street activations. It is argued that not all of a patron’s travel emissions should be attributed to Melbourne Fashion Week/Melbourne Music Week under each of these different attendee types.  </w:t>
            </w:r>
          </w:p>
          <w:p w14:paraId="28B50BF2" w14:textId="77777777" w:rsidR="004F6384" w:rsidRPr="00391546" w:rsidRDefault="004F6384" w:rsidP="004F6384">
            <w:pPr>
              <w:spacing w:afterLines="60" w:after="144"/>
              <w:rPr>
                <w:i/>
                <w:iCs/>
              </w:rPr>
            </w:pPr>
            <w:r w:rsidRPr="00391546">
              <w:t xml:space="preserve">A sample of patrons at Melbourne Fashion Week and Melbourne Music Week events were asked in surveys whether their primary purpose for coming into the city was to attend the event they were being surveyed at. The percentage of patrons answering in the positive has been used as an 'attribution factor' and applied to all patrons attending a free event. </w:t>
            </w:r>
            <w:r w:rsidRPr="00391546">
              <w:rPr>
                <w:i/>
              </w:rPr>
              <w:t>For example,</w:t>
            </w:r>
            <w:r w:rsidRPr="00391546">
              <w:rPr>
                <w:i/>
                <w:iCs/>
              </w:rPr>
              <w:t xml:space="preserve"> 68% of surveyed patrons to event X said their primary purpose for coming into the city was to attend a Fashion Week event. So 68% of all patron transport emissions to that event have been attributed to the emissions inventory. </w:t>
            </w:r>
          </w:p>
          <w:p w14:paraId="44981868" w14:textId="77777777" w:rsidR="004F6384" w:rsidRPr="00391546" w:rsidRDefault="004F6384" w:rsidP="004F6384">
            <w:pPr>
              <w:spacing w:afterLines="60" w:after="144"/>
            </w:pPr>
            <w:r w:rsidRPr="00391546">
              <w:t>Where a patron has purchased a ticket to an event, an attribution factor of 100% has been applied to their transport emissions. It is determined that paying to attend an event indicates the event is the primary purpose for travelling to the city.</w:t>
            </w:r>
          </w:p>
          <w:p w14:paraId="19ED314A" w14:textId="77777777" w:rsidR="004F6384" w:rsidRPr="00391546" w:rsidRDefault="004F6384" w:rsidP="004F6384">
            <w:pPr>
              <w:spacing w:afterLines="60" w:after="144"/>
              <w:rPr>
                <w:i/>
                <w:iCs/>
              </w:rPr>
            </w:pPr>
            <w:r w:rsidRPr="00391546">
              <w:t>Patrons observed at Melbourne Fashion Week or Melbourne Music Week activations who did not actually enter a venue, have only had 25% of their travel emissions attributed.  It is argued these individuals may have been passers-by and/or had a multitude of other possible purposes for being in the city at that time.</w:t>
            </w:r>
          </w:p>
        </w:tc>
      </w:tr>
    </w:tbl>
    <w:p w14:paraId="7F131A3B" w14:textId="54FAFEA3" w:rsidR="004F6384" w:rsidRDefault="004F6384" w:rsidP="004F6384">
      <w:pPr>
        <w:pStyle w:val="Heading3"/>
      </w:pPr>
      <w:bookmarkStart w:id="15" w:name="_Toc14679648"/>
      <w:bookmarkEnd w:id="14"/>
      <w:r>
        <w:t>1D.</w:t>
      </w:r>
      <w:r>
        <w:tab/>
        <w:t>Diagram of the certification boundary</w:t>
      </w:r>
      <w:bookmarkEnd w:id="15"/>
    </w:p>
    <w:p w14:paraId="3C0798F8" w14:textId="194E8B31" w:rsidR="004F6384" w:rsidRDefault="004F6384" w:rsidP="004F6384">
      <w:pPr>
        <w:pStyle w:val="Heading4"/>
        <w:rPr>
          <w:lang w:val="en-AU"/>
        </w:rPr>
      </w:pPr>
      <w:r w:rsidRPr="000747D0">
        <w:rPr>
          <w:lang w:val="en-AU"/>
        </w:rPr>
        <w:t>Tier 1</w:t>
      </w:r>
      <w:r w:rsidR="005238B0">
        <w:rPr>
          <w:lang w:val="en-AU"/>
        </w:rPr>
        <w:t xml:space="preserve"> –</w:t>
      </w:r>
      <w:r w:rsidRPr="008A57CE">
        <w:rPr>
          <w:lang w:val="en-AU"/>
        </w:rPr>
        <w:t xml:space="preserve"> City of Melbourne directly manages event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976"/>
        <w:gridCol w:w="1843"/>
        <w:gridCol w:w="30"/>
        <w:gridCol w:w="1765"/>
        <w:gridCol w:w="50"/>
      </w:tblGrid>
      <w:tr w:rsidR="00C77809" w:rsidRPr="008A57CE" w14:paraId="769E4D04" w14:textId="77777777" w:rsidTr="00C77809">
        <w:trPr>
          <w:gridAfter w:val="1"/>
          <w:wAfter w:w="50" w:type="dxa"/>
          <w:cantSplit/>
          <w:trHeight w:val="255"/>
          <w:tblHeader/>
        </w:trPr>
        <w:tc>
          <w:tcPr>
            <w:tcW w:w="2375" w:type="dxa"/>
          </w:tcPr>
          <w:p w14:paraId="5E5AD8AA" w14:textId="77777777" w:rsidR="00C77809" w:rsidRPr="00C77809" w:rsidRDefault="00C77809" w:rsidP="00C77809">
            <w:pPr>
              <w:rPr>
                <w:b/>
                <w:bCs/>
                <w:lang w:val="en-AU"/>
              </w:rPr>
            </w:pPr>
            <w:bookmarkStart w:id="16" w:name="ColumnTitle_Manages_Event"/>
            <w:r w:rsidRPr="00C77809">
              <w:rPr>
                <w:b/>
                <w:bCs/>
                <w:lang w:val="en-AU"/>
              </w:rPr>
              <w:t xml:space="preserve">Source type </w:t>
            </w:r>
          </w:p>
        </w:tc>
        <w:tc>
          <w:tcPr>
            <w:tcW w:w="2976" w:type="dxa"/>
          </w:tcPr>
          <w:p w14:paraId="5E36D736" w14:textId="77777777" w:rsidR="00C77809" w:rsidRPr="00C77809" w:rsidRDefault="00C77809" w:rsidP="00C77809">
            <w:pPr>
              <w:rPr>
                <w:b/>
                <w:bCs/>
                <w:lang w:val="en-AU"/>
              </w:rPr>
            </w:pPr>
            <w:r w:rsidRPr="00C77809">
              <w:rPr>
                <w:b/>
                <w:bCs/>
                <w:lang w:val="en-AU"/>
              </w:rPr>
              <w:t xml:space="preserve">Emissions source </w:t>
            </w:r>
          </w:p>
        </w:tc>
        <w:tc>
          <w:tcPr>
            <w:tcW w:w="1873" w:type="dxa"/>
            <w:gridSpan w:val="2"/>
          </w:tcPr>
          <w:p w14:paraId="78EB0A35" w14:textId="77777777" w:rsidR="00C77809" w:rsidRPr="00C77809" w:rsidRDefault="00C77809" w:rsidP="00C77809">
            <w:pPr>
              <w:rPr>
                <w:b/>
                <w:bCs/>
                <w:lang w:val="en-AU"/>
              </w:rPr>
            </w:pPr>
            <w:r w:rsidRPr="00C77809">
              <w:rPr>
                <w:b/>
                <w:bCs/>
                <w:lang w:val="en-AU"/>
              </w:rPr>
              <w:t xml:space="preserve">Included in scope </w:t>
            </w:r>
          </w:p>
        </w:tc>
        <w:tc>
          <w:tcPr>
            <w:tcW w:w="1765" w:type="dxa"/>
          </w:tcPr>
          <w:p w14:paraId="6BF37A0E" w14:textId="77777777" w:rsidR="00C77809" w:rsidRPr="00C77809" w:rsidRDefault="00C77809" w:rsidP="00C77809">
            <w:pPr>
              <w:rPr>
                <w:b/>
                <w:bCs/>
                <w:lang w:val="en-AU"/>
              </w:rPr>
            </w:pPr>
            <w:r w:rsidRPr="00C77809">
              <w:rPr>
                <w:b/>
                <w:bCs/>
                <w:lang w:val="en-AU"/>
              </w:rPr>
              <w:t xml:space="preserve">Scope Category </w:t>
            </w:r>
          </w:p>
        </w:tc>
      </w:tr>
      <w:tr w:rsidR="00C77809" w:rsidRPr="008A57CE" w14:paraId="03A731E3" w14:textId="77777777" w:rsidTr="00C77809">
        <w:trPr>
          <w:gridAfter w:val="1"/>
          <w:wAfter w:w="50" w:type="dxa"/>
          <w:cantSplit/>
          <w:trHeight w:val="132"/>
          <w:tblHeader/>
        </w:trPr>
        <w:tc>
          <w:tcPr>
            <w:tcW w:w="2375" w:type="dxa"/>
          </w:tcPr>
          <w:p w14:paraId="31FD7BE1" w14:textId="77777777" w:rsidR="00C77809" w:rsidRPr="008A57CE" w:rsidRDefault="00C77809" w:rsidP="00C77809">
            <w:pPr>
              <w:rPr>
                <w:lang w:val="en-AU"/>
              </w:rPr>
            </w:pPr>
            <w:r w:rsidRPr="008A57CE">
              <w:rPr>
                <w:lang w:val="en-AU"/>
              </w:rPr>
              <w:t xml:space="preserve">Venue energy emissions </w:t>
            </w:r>
          </w:p>
        </w:tc>
        <w:tc>
          <w:tcPr>
            <w:tcW w:w="2976" w:type="dxa"/>
          </w:tcPr>
          <w:p w14:paraId="64863017" w14:textId="77777777" w:rsidR="00C77809" w:rsidRPr="008A57CE" w:rsidRDefault="00C77809" w:rsidP="00C77809">
            <w:pPr>
              <w:rPr>
                <w:lang w:val="en-AU"/>
              </w:rPr>
            </w:pPr>
            <w:r w:rsidRPr="008A57CE">
              <w:rPr>
                <w:lang w:val="en-AU"/>
              </w:rPr>
              <w:t xml:space="preserve">Diesel generators </w:t>
            </w:r>
          </w:p>
        </w:tc>
        <w:tc>
          <w:tcPr>
            <w:tcW w:w="1873" w:type="dxa"/>
            <w:gridSpan w:val="2"/>
          </w:tcPr>
          <w:p w14:paraId="0AEFDBE5" w14:textId="77777777" w:rsidR="00C77809" w:rsidRPr="008A57CE" w:rsidRDefault="00C77809" w:rsidP="00C77809">
            <w:pPr>
              <w:rPr>
                <w:lang w:val="en-AU"/>
              </w:rPr>
            </w:pPr>
            <w:r w:rsidRPr="008A57CE">
              <w:rPr>
                <w:lang w:val="en-AU"/>
              </w:rPr>
              <w:t xml:space="preserve">Yes </w:t>
            </w:r>
          </w:p>
        </w:tc>
        <w:tc>
          <w:tcPr>
            <w:tcW w:w="1765" w:type="dxa"/>
          </w:tcPr>
          <w:p w14:paraId="2ED38522" w14:textId="77777777" w:rsidR="00C77809" w:rsidRPr="008A57CE" w:rsidRDefault="00C77809" w:rsidP="00C77809">
            <w:pPr>
              <w:rPr>
                <w:lang w:val="en-AU"/>
              </w:rPr>
            </w:pPr>
            <w:r w:rsidRPr="008A57CE">
              <w:rPr>
                <w:lang w:val="en-AU"/>
              </w:rPr>
              <w:t xml:space="preserve">1 </w:t>
            </w:r>
          </w:p>
        </w:tc>
      </w:tr>
      <w:tr w:rsidR="00C77809" w:rsidRPr="008A57CE" w14:paraId="5C94C5FB" w14:textId="77777777" w:rsidTr="00C77809">
        <w:trPr>
          <w:gridAfter w:val="1"/>
          <w:wAfter w:w="50" w:type="dxa"/>
          <w:cantSplit/>
          <w:trHeight w:val="132"/>
          <w:tblHeader/>
        </w:trPr>
        <w:tc>
          <w:tcPr>
            <w:tcW w:w="2375" w:type="dxa"/>
          </w:tcPr>
          <w:p w14:paraId="40317E59" w14:textId="77777777" w:rsidR="00C77809" w:rsidRPr="008A57CE" w:rsidRDefault="00C77809" w:rsidP="00C77809">
            <w:pPr>
              <w:rPr>
                <w:lang w:val="en-AU"/>
              </w:rPr>
            </w:pPr>
            <w:r w:rsidRPr="008A57CE">
              <w:rPr>
                <w:lang w:val="en-AU"/>
              </w:rPr>
              <w:t xml:space="preserve">Venue energy emissions </w:t>
            </w:r>
          </w:p>
        </w:tc>
        <w:tc>
          <w:tcPr>
            <w:tcW w:w="2976" w:type="dxa"/>
          </w:tcPr>
          <w:p w14:paraId="45C8EE9A" w14:textId="77777777" w:rsidR="00C77809" w:rsidRPr="008A57CE" w:rsidRDefault="00C77809" w:rsidP="00C77809">
            <w:pPr>
              <w:rPr>
                <w:lang w:val="en-AU"/>
              </w:rPr>
            </w:pPr>
            <w:r w:rsidRPr="008A57CE">
              <w:rPr>
                <w:lang w:val="en-AU"/>
              </w:rPr>
              <w:t xml:space="preserve">Gas usage </w:t>
            </w:r>
          </w:p>
        </w:tc>
        <w:tc>
          <w:tcPr>
            <w:tcW w:w="1873" w:type="dxa"/>
            <w:gridSpan w:val="2"/>
          </w:tcPr>
          <w:p w14:paraId="487674B8" w14:textId="77777777" w:rsidR="00C77809" w:rsidRPr="008A57CE" w:rsidRDefault="00C77809" w:rsidP="00C77809">
            <w:pPr>
              <w:rPr>
                <w:lang w:val="en-AU"/>
              </w:rPr>
            </w:pPr>
            <w:r w:rsidRPr="008A57CE">
              <w:rPr>
                <w:lang w:val="en-AU"/>
              </w:rPr>
              <w:t xml:space="preserve">Yes </w:t>
            </w:r>
          </w:p>
        </w:tc>
        <w:tc>
          <w:tcPr>
            <w:tcW w:w="1765" w:type="dxa"/>
          </w:tcPr>
          <w:p w14:paraId="03688A78" w14:textId="77777777" w:rsidR="00C77809" w:rsidRPr="008A57CE" w:rsidRDefault="00C77809" w:rsidP="00C77809">
            <w:pPr>
              <w:rPr>
                <w:lang w:val="en-AU"/>
              </w:rPr>
            </w:pPr>
            <w:r w:rsidRPr="008A57CE">
              <w:rPr>
                <w:lang w:val="en-AU"/>
              </w:rPr>
              <w:t xml:space="preserve">1 </w:t>
            </w:r>
          </w:p>
        </w:tc>
      </w:tr>
      <w:tr w:rsidR="00C77809" w:rsidRPr="008A57CE" w14:paraId="2DC80C84" w14:textId="77777777" w:rsidTr="00C77809">
        <w:trPr>
          <w:gridAfter w:val="1"/>
          <w:wAfter w:w="50" w:type="dxa"/>
          <w:cantSplit/>
          <w:trHeight w:val="132"/>
          <w:tblHeader/>
        </w:trPr>
        <w:tc>
          <w:tcPr>
            <w:tcW w:w="2375" w:type="dxa"/>
          </w:tcPr>
          <w:p w14:paraId="527C045A" w14:textId="77777777" w:rsidR="00C77809" w:rsidRPr="008A57CE" w:rsidRDefault="00C77809" w:rsidP="00C77809">
            <w:pPr>
              <w:rPr>
                <w:lang w:val="en-AU"/>
              </w:rPr>
            </w:pPr>
            <w:r w:rsidRPr="008A57CE">
              <w:rPr>
                <w:lang w:val="en-AU"/>
              </w:rPr>
              <w:t xml:space="preserve">Venue energy emissions </w:t>
            </w:r>
          </w:p>
        </w:tc>
        <w:tc>
          <w:tcPr>
            <w:tcW w:w="2976" w:type="dxa"/>
          </w:tcPr>
          <w:p w14:paraId="7ABFC62F" w14:textId="77777777" w:rsidR="00C77809" w:rsidRPr="008A57CE" w:rsidRDefault="00C77809" w:rsidP="00C77809">
            <w:pPr>
              <w:rPr>
                <w:lang w:val="en-AU"/>
              </w:rPr>
            </w:pPr>
            <w:r w:rsidRPr="008A57CE">
              <w:rPr>
                <w:lang w:val="en-AU"/>
              </w:rPr>
              <w:t xml:space="preserve">Electricity usage </w:t>
            </w:r>
          </w:p>
        </w:tc>
        <w:tc>
          <w:tcPr>
            <w:tcW w:w="1873" w:type="dxa"/>
            <w:gridSpan w:val="2"/>
          </w:tcPr>
          <w:p w14:paraId="2A2302F2" w14:textId="77777777" w:rsidR="00C77809" w:rsidRPr="008A57CE" w:rsidRDefault="00C77809" w:rsidP="00C77809">
            <w:pPr>
              <w:rPr>
                <w:lang w:val="en-AU"/>
              </w:rPr>
            </w:pPr>
            <w:r w:rsidRPr="008A57CE">
              <w:rPr>
                <w:lang w:val="en-AU"/>
              </w:rPr>
              <w:t xml:space="preserve">Yes </w:t>
            </w:r>
          </w:p>
        </w:tc>
        <w:tc>
          <w:tcPr>
            <w:tcW w:w="1765" w:type="dxa"/>
          </w:tcPr>
          <w:p w14:paraId="1C34B9C9" w14:textId="77777777" w:rsidR="00C77809" w:rsidRPr="008A57CE" w:rsidRDefault="00C77809" w:rsidP="00C77809">
            <w:pPr>
              <w:rPr>
                <w:lang w:val="en-AU"/>
              </w:rPr>
            </w:pPr>
            <w:r w:rsidRPr="008A57CE">
              <w:rPr>
                <w:lang w:val="en-AU"/>
              </w:rPr>
              <w:t xml:space="preserve">2 </w:t>
            </w:r>
          </w:p>
        </w:tc>
      </w:tr>
      <w:tr w:rsidR="00C77809" w:rsidRPr="008A57CE" w14:paraId="6F21AC75" w14:textId="77777777" w:rsidTr="00C77809">
        <w:trPr>
          <w:gridAfter w:val="1"/>
          <w:wAfter w:w="50" w:type="dxa"/>
          <w:cantSplit/>
          <w:trHeight w:val="132"/>
          <w:tblHeader/>
        </w:trPr>
        <w:tc>
          <w:tcPr>
            <w:tcW w:w="2375" w:type="dxa"/>
          </w:tcPr>
          <w:p w14:paraId="6E94FC24" w14:textId="77777777" w:rsidR="00C77809" w:rsidRPr="008A57CE" w:rsidRDefault="00C77809" w:rsidP="00C77809">
            <w:pPr>
              <w:rPr>
                <w:lang w:val="en-AU"/>
              </w:rPr>
            </w:pPr>
            <w:r w:rsidRPr="008A57CE">
              <w:rPr>
                <w:lang w:val="en-AU"/>
              </w:rPr>
              <w:t xml:space="preserve">Event indirect emissions </w:t>
            </w:r>
          </w:p>
        </w:tc>
        <w:tc>
          <w:tcPr>
            <w:tcW w:w="2976" w:type="dxa"/>
          </w:tcPr>
          <w:p w14:paraId="6499E943" w14:textId="77777777" w:rsidR="00C77809" w:rsidRPr="008A57CE" w:rsidRDefault="00C77809" w:rsidP="00C77809">
            <w:pPr>
              <w:rPr>
                <w:lang w:val="en-AU"/>
              </w:rPr>
            </w:pPr>
            <w:r w:rsidRPr="008A57CE">
              <w:rPr>
                <w:lang w:val="en-AU"/>
              </w:rPr>
              <w:t xml:space="preserve">Contractor vehicle use </w:t>
            </w:r>
          </w:p>
        </w:tc>
        <w:tc>
          <w:tcPr>
            <w:tcW w:w="1873" w:type="dxa"/>
            <w:gridSpan w:val="2"/>
          </w:tcPr>
          <w:p w14:paraId="7F9696AA" w14:textId="77777777" w:rsidR="00C77809" w:rsidRPr="008A57CE" w:rsidRDefault="00C77809" w:rsidP="00C77809">
            <w:pPr>
              <w:rPr>
                <w:lang w:val="en-AU"/>
              </w:rPr>
            </w:pPr>
            <w:r w:rsidRPr="008A57CE">
              <w:rPr>
                <w:lang w:val="en-AU"/>
              </w:rPr>
              <w:t xml:space="preserve">No </w:t>
            </w:r>
          </w:p>
        </w:tc>
        <w:tc>
          <w:tcPr>
            <w:tcW w:w="1765" w:type="dxa"/>
          </w:tcPr>
          <w:p w14:paraId="4F1EE41B" w14:textId="77777777" w:rsidR="00C77809" w:rsidRPr="008A57CE" w:rsidRDefault="00C77809" w:rsidP="00C77809">
            <w:pPr>
              <w:rPr>
                <w:lang w:val="en-AU"/>
              </w:rPr>
            </w:pPr>
            <w:r w:rsidRPr="008A57CE">
              <w:rPr>
                <w:lang w:val="en-AU"/>
              </w:rPr>
              <w:t xml:space="preserve">1 </w:t>
            </w:r>
          </w:p>
        </w:tc>
      </w:tr>
      <w:tr w:rsidR="00C77809" w:rsidRPr="008A57CE" w14:paraId="0752A652" w14:textId="77777777" w:rsidTr="00C77809">
        <w:trPr>
          <w:gridAfter w:val="1"/>
          <w:wAfter w:w="50" w:type="dxa"/>
          <w:cantSplit/>
          <w:trHeight w:val="132"/>
          <w:tblHeader/>
        </w:trPr>
        <w:tc>
          <w:tcPr>
            <w:tcW w:w="2375" w:type="dxa"/>
          </w:tcPr>
          <w:p w14:paraId="79E1FDBC" w14:textId="77777777" w:rsidR="00C77809" w:rsidRPr="008A57CE" w:rsidRDefault="00C77809" w:rsidP="00C77809">
            <w:pPr>
              <w:rPr>
                <w:lang w:val="en-AU"/>
              </w:rPr>
            </w:pPr>
            <w:r w:rsidRPr="008A57CE">
              <w:rPr>
                <w:lang w:val="en-AU"/>
              </w:rPr>
              <w:lastRenderedPageBreak/>
              <w:t xml:space="preserve">Event indirect emissions </w:t>
            </w:r>
          </w:p>
        </w:tc>
        <w:tc>
          <w:tcPr>
            <w:tcW w:w="2976" w:type="dxa"/>
          </w:tcPr>
          <w:p w14:paraId="6DD0119A" w14:textId="77777777" w:rsidR="00C77809" w:rsidRPr="008A57CE" w:rsidRDefault="00C77809" w:rsidP="00C77809">
            <w:pPr>
              <w:rPr>
                <w:lang w:val="en-AU"/>
              </w:rPr>
            </w:pPr>
            <w:r w:rsidRPr="008A57CE">
              <w:rPr>
                <w:lang w:val="en-AU"/>
              </w:rPr>
              <w:t xml:space="preserve">Portable toilet usage </w:t>
            </w:r>
          </w:p>
        </w:tc>
        <w:tc>
          <w:tcPr>
            <w:tcW w:w="1873" w:type="dxa"/>
            <w:gridSpan w:val="2"/>
          </w:tcPr>
          <w:p w14:paraId="624027F8" w14:textId="77777777" w:rsidR="00C77809" w:rsidRPr="008A57CE" w:rsidRDefault="00C77809" w:rsidP="00C77809">
            <w:pPr>
              <w:rPr>
                <w:lang w:val="en-AU"/>
              </w:rPr>
            </w:pPr>
            <w:r w:rsidRPr="008A57CE">
              <w:rPr>
                <w:lang w:val="en-AU"/>
              </w:rPr>
              <w:t xml:space="preserve">No </w:t>
            </w:r>
          </w:p>
        </w:tc>
        <w:tc>
          <w:tcPr>
            <w:tcW w:w="1765" w:type="dxa"/>
          </w:tcPr>
          <w:p w14:paraId="524A4C01" w14:textId="77777777" w:rsidR="00C77809" w:rsidRPr="008A57CE" w:rsidRDefault="00C77809" w:rsidP="00C77809">
            <w:pPr>
              <w:rPr>
                <w:lang w:val="en-AU"/>
              </w:rPr>
            </w:pPr>
            <w:r w:rsidRPr="008A57CE">
              <w:rPr>
                <w:lang w:val="en-AU"/>
              </w:rPr>
              <w:t xml:space="preserve">3 </w:t>
            </w:r>
          </w:p>
        </w:tc>
      </w:tr>
      <w:tr w:rsidR="00C77809" w:rsidRPr="008A57CE" w14:paraId="5CD209AA" w14:textId="77777777" w:rsidTr="00C77809">
        <w:trPr>
          <w:gridAfter w:val="1"/>
          <w:wAfter w:w="50" w:type="dxa"/>
          <w:cantSplit/>
          <w:trHeight w:val="132"/>
          <w:tblHeader/>
        </w:trPr>
        <w:tc>
          <w:tcPr>
            <w:tcW w:w="2375" w:type="dxa"/>
          </w:tcPr>
          <w:p w14:paraId="08C3571B" w14:textId="77777777" w:rsidR="00C77809" w:rsidRPr="008A57CE" w:rsidRDefault="00C77809" w:rsidP="00C77809">
            <w:pPr>
              <w:rPr>
                <w:lang w:val="en-AU"/>
              </w:rPr>
            </w:pPr>
            <w:r w:rsidRPr="008A57CE">
              <w:rPr>
                <w:lang w:val="en-AU"/>
              </w:rPr>
              <w:t xml:space="preserve">Event indirect emissions </w:t>
            </w:r>
          </w:p>
        </w:tc>
        <w:tc>
          <w:tcPr>
            <w:tcW w:w="2976" w:type="dxa"/>
          </w:tcPr>
          <w:p w14:paraId="48F16CF1" w14:textId="77777777" w:rsidR="00C77809" w:rsidRPr="008A57CE" w:rsidRDefault="00C77809" w:rsidP="00C77809">
            <w:pPr>
              <w:rPr>
                <w:lang w:val="en-AU"/>
              </w:rPr>
            </w:pPr>
            <w:r w:rsidRPr="008A57CE">
              <w:rPr>
                <w:lang w:val="en-AU"/>
              </w:rPr>
              <w:t xml:space="preserve">Food consumed by patrons </w:t>
            </w:r>
          </w:p>
        </w:tc>
        <w:tc>
          <w:tcPr>
            <w:tcW w:w="1873" w:type="dxa"/>
            <w:gridSpan w:val="2"/>
          </w:tcPr>
          <w:p w14:paraId="70ED33FD" w14:textId="77777777" w:rsidR="00C77809" w:rsidRPr="008A57CE" w:rsidRDefault="00C77809" w:rsidP="00C77809">
            <w:pPr>
              <w:rPr>
                <w:lang w:val="en-AU"/>
              </w:rPr>
            </w:pPr>
            <w:r w:rsidRPr="008A57CE">
              <w:rPr>
                <w:lang w:val="en-AU"/>
              </w:rPr>
              <w:t xml:space="preserve">Yes </w:t>
            </w:r>
          </w:p>
        </w:tc>
        <w:tc>
          <w:tcPr>
            <w:tcW w:w="1765" w:type="dxa"/>
          </w:tcPr>
          <w:p w14:paraId="56F053F7" w14:textId="77777777" w:rsidR="00C77809" w:rsidRPr="008A57CE" w:rsidRDefault="00C77809" w:rsidP="00C77809">
            <w:pPr>
              <w:rPr>
                <w:lang w:val="en-AU"/>
              </w:rPr>
            </w:pPr>
            <w:r w:rsidRPr="008A57CE">
              <w:rPr>
                <w:lang w:val="en-AU"/>
              </w:rPr>
              <w:t xml:space="preserve">3 </w:t>
            </w:r>
          </w:p>
        </w:tc>
      </w:tr>
      <w:tr w:rsidR="00C77809" w:rsidRPr="008A57CE" w14:paraId="7142FA04" w14:textId="77777777" w:rsidTr="00C77809">
        <w:trPr>
          <w:gridAfter w:val="1"/>
          <w:wAfter w:w="50" w:type="dxa"/>
          <w:cantSplit/>
          <w:trHeight w:val="132"/>
          <w:tblHeader/>
        </w:trPr>
        <w:tc>
          <w:tcPr>
            <w:tcW w:w="2375" w:type="dxa"/>
          </w:tcPr>
          <w:p w14:paraId="00C99DEC" w14:textId="77777777" w:rsidR="00C77809" w:rsidRPr="008A57CE" w:rsidRDefault="00C77809" w:rsidP="00C77809">
            <w:pPr>
              <w:rPr>
                <w:lang w:val="en-AU"/>
              </w:rPr>
            </w:pPr>
            <w:r w:rsidRPr="008A57CE">
              <w:rPr>
                <w:lang w:val="en-AU"/>
              </w:rPr>
              <w:t xml:space="preserve">Event indirect emissions </w:t>
            </w:r>
          </w:p>
        </w:tc>
        <w:tc>
          <w:tcPr>
            <w:tcW w:w="2976" w:type="dxa"/>
          </w:tcPr>
          <w:p w14:paraId="51BC0E12" w14:textId="77777777" w:rsidR="00C77809" w:rsidRPr="008A57CE" w:rsidRDefault="00C77809" w:rsidP="00C77809">
            <w:pPr>
              <w:rPr>
                <w:lang w:val="en-AU"/>
              </w:rPr>
            </w:pPr>
            <w:r w:rsidRPr="008A57CE">
              <w:rPr>
                <w:lang w:val="en-AU"/>
              </w:rPr>
              <w:t xml:space="preserve">Drink consumed by patrons </w:t>
            </w:r>
          </w:p>
        </w:tc>
        <w:tc>
          <w:tcPr>
            <w:tcW w:w="1873" w:type="dxa"/>
            <w:gridSpan w:val="2"/>
          </w:tcPr>
          <w:p w14:paraId="3674B03E" w14:textId="77777777" w:rsidR="00C77809" w:rsidRPr="008A57CE" w:rsidRDefault="00C77809" w:rsidP="00C77809">
            <w:pPr>
              <w:rPr>
                <w:lang w:val="en-AU"/>
              </w:rPr>
            </w:pPr>
            <w:r w:rsidRPr="008A57CE">
              <w:rPr>
                <w:lang w:val="en-AU"/>
              </w:rPr>
              <w:t xml:space="preserve">Yes </w:t>
            </w:r>
          </w:p>
        </w:tc>
        <w:tc>
          <w:tcPr>
            <w:tcW w:w="1765" w:type="dxa"/>
          </w:tcPr>
          <w:p w14:paraId="359A0873" w14:textId="77777777" w:rsidR="00C77809" w:rsidRPr="008A57CE" w:rsidRDefault="00C77809" w:rsidP="00C77809">
            <w:pPr>
              <w:rPr>
                <w:lang w:val="en-AU"/>
              </w:rPr>
            </w:pPr>
            <w:r w:rsidRPr="008A57CE">
              <w:rPr>
                <w:lang w:val="en-AU"/>
              </w:rPr>
              <w:t xml:space="preserve">3 </w:t>
            </w:r>
          </w:p>
        </w:tc>
      </w:tr>
      <w:tr w:rsidR="00C77809" w:rsidRPr="008A57CE" w14:paraId="5D70DD2C" w14:textId="77777777" w:rsidTr="00C77809">
        <w:trPr>
          <w:gridAfter w:val="1"/>
          <w:wAfter w:w="50" w:type="dxa"/>
          <w:cantSplit/>
          <w:trHeight w:val="132"/>
          <w:tblHeader/>
        </w:trPr>
        <w:tc>
          <w:tcPr>
            <w:tcW w:w="2375" w:type="dxa"/>
          </w:tcPr>
          <w:p w14:paraId="317E6E47" w14:textId="77777777" w:rsidR="00C77809" w:rsidRPr="008A57CE" w:rsidRDefault="00C77809" w:rsidP="00C77809">
            <w:pPr>
              <w:rPr>
                <w:lang w:val="en-AU"/>
              </w:rPr>
            </w:pPr>
            <w:r w:rsidRPr="008A57CE">
              <w:rPr>
                <w:lang w:val="en-AU"/>
              </w:rPr>
              <w:t xml:space="preserve">Event indirect emissions </w:t>
            </w:r>
          </w:p>
        </w:tc>
        <w:tc>
          <w:tcPr>
            <w:tcW w:w="2976" w:type="dxa"/>
          </w:tcPr>
          <w:p w14:paraId="5A597953" w14:textId="77777777" w:rsidR="00C77809" w:rsidRPr="008A57CE" w:rsidRDefault="00C77809" w:rsidP="00C77809">
            <w:pPr>
              <w:rPr>
                <w:lang w:val="en-AU"/>
              </w:rPr>
            </w:pPr>
            <w:r w:rsidRPr="008A57CE">
              <w:rPr>
                <w:lang w:val="en-AU"/>
              </w:rPr>
              <w:t xml:space="preserve">Patron accommodation </w:t>
            </w:r>
          </w:p>
        </w:tc>
        <w:tc>
          <w:tcPr>
            <w:tcW w:w="1873" w:type="dxa"/>
            <w:gridSpan w:val="2"/>
          </w:tcPr>
          <w:p w14:paraId="359055B2" w14:textId="77777777" w:rsidR="00C77809" w:rsidRPr="008A57CE" w:rsidRDefault="00C77809" w:rsidP="00C77809">
            <w:pPr>
              <w:rPr>
                <w:lang w:val="en-AU"/>
              </w:rPr>
            </w:pPr>
            <w:r w:rsidRPr="008A57CE">
              <w:rPr>
                <w:lang w:val="en-AU"/>
              </w:rPr>
              <w:t xml:space="preserve">No </w:t>
            </w:r>
          </w:p>
        </w:tc>
        <w:tc>
          <w:tcPr>
            <w:tcW w:w="1765" w:type="dxa"/>
          </w:tcPr>
          <w:p w14:paraId="7D3460C2" w14:textId="77777777" w:rsidR="00C77809" w:rsidRPr="008A57CE" w:rsidRDefault="00C77809" w:rsidP="00C77809">
            <w:pPr>
              <w:rPr>
                <w:lang w:val="en-AU"/>
              </w:rPr>
            </w:pPr>
            <w:r w:rsidRPr="008A57CE">
              <w:rPr>
                <w:lang w:val="en-AU"/>
              </w:rPr>
              <w:t xml:space="preserve">3 </w:t>
            </w:r>
          </w:p>
        </w:tc>
      </w:tr>
      <w:tr w:rsidR="00C77809" w:rsidRPr="008A57CE" w14:paraId="46C645D0" w14:textId="77777777" w:rsidTr="00C77809">
        <w:trPr>
          <w:gridAfter w:val="1"/>
          <w:wAfter w:w="50" w:type="dxa"/>
          <w:cantSplit/>
          <w:trHeight w:val="132"/>
          <w:tblHeader/>
        </w:trPr>
        <w:tc>
          <w:tcPr>
            <w:tcW w:w="2375" w:type="dxa"/>
          </w:tcPr>
          <w:p w14:paraId="4DE1D400" w14:textId="77777777" w:rsidR="00C77809" w:rsidRPr="008A57CE" w:rsidRDefault="00C77809" w:rsidP="00C77809">
            <w:pPr>
              <w:rPr>
                <w:lang w:val="en-AU"/>
              </w:rPr>
            </w:pPr>
            <w:r w:rsidRPr="008A57CE">
              <w:rPr>
                <w:lang w:val="en-AU"/>
              </w:rPr>
              <w:t xml:space="preserve">Event indirect emissions </w:t>
            </w:r>
          </w:p>
        </w:tc>
        <w:tc>
          <w:tcPr>
            <w:tcW w:w="2976" w:type="dxa"/>
          </w:tcPr>
          <w:p w14:paraId="6B8ED6DE" w14:textId="77777777" w:rsidR="00C77809" w:rsidRPr="008A57CE" w:rsidRDefault="00C77809" w:rsidP="00C77809">
            <w:pPr>
              <w:rPr>
                <w:lang w:val="en-AU"/>
              </w:rPr>
            </w:pPr>
            <w:r w:rsidRPr="008A57CE">
              <w:rPr>
                <w:lang w:val="en-AU"/>
              </w:rPr>
              <w:t xml:space="preserve">Patron transport </w:t>
            </w:r>
          </w:p>
        </w:tc>
        <w:tc>
          <w:tcPr>
            <w:tcW w:w="1873" w:type="dxa"/>
            <w:gridSpan w:val="2"/>
          </w:tcPr>
          <w:p w14:paraId="61D5FECE" w14:textId="77777777" w:rsidR="00C77809" w:rsidRPr="008A57CE" w:rsidRDefault="00C77809" w:rsidP="00C77809">
            <w:pPr>
              <w:rPr>
                <w:lang w:val="en-AU"/>
              </w:rPr>
            </w:pPr>
            <w:r w:rsidRPr="008A57CE">
              <w:rPr>
                <w:lang w:val="en-AU"/>
              </w:rPr>
              <w:t xml:space="preserve">Yes </w:t>
            </w:r>
          </w:p>
        </w:tc>
        <w:tc>
          <w:tcPr>
            <w:tcW w:w="1765" w:type="dxa"/>
          </w:tcPr>
          <w:p w14:paraId="699CFDEC" w14:textId="77777777" w:rsidR="00C77809" w:rsidRPr="008A57CE" w:rsidRDefault="00C77809" w:rsidP="00C77809">
            <w:pPr>
              <w:rPr>
                <w:lang w:val="en-AU"/>
              </w:rPr>
            </w:pPr>
            <w:r w:rsidRPr="008A57CE">
              <w:rPr>
                <w:lang w:val="en-AU"/>
              </w:rPr>
              <w:t xml:space="preserve">3 </w:t>
            </w:r>
          </w:p>
        </w:tc>
      </w:tr>
      <w:tr w:rsidR="00C77809" w:rsidRPr="008A57CE" w14:paraId="6828D577" w14:textId="77777777" w:rsidTr="00C77809">
        <w:trPr>
          <w:gridAfter w:val="1"/>
          <w:wAfter w:w="50" w:type="dxa"/>
          <w:cantSplit/>
          <w:trHeight w:val="132"/>
          <w:tblHeader/>
        </w:trPr>
        <w:tc>
          <w:tcPr>
            <w:tcW w:w="2375" w:type="dxa"/>
          </w:tcPr>
          <w:p w14:paraId="3F7118CD" w14:textId="77777777" w:rsidR="00C77809" w:rsidRPr="008A57CE" w:rsidRDefault="00C77809" w:rsidP="00C77809">
            <w:pPr>
              <w:rPr>
                <w:lang w:val="en-AU"/>
              </w:rPr>
            </w:pPr>
            <w:r w:rsidRPr="008A57CE">
              <w:rPr>
                <w:lang w:val="en-AU"/>
              </w:rPr>
              <w:t xml:space="preserve">Event indirect emissions </w:t>
            </w:r>
          </w:p>
        </w:tc>
        <w:tc>
          <w:tcPr>
            <w:tcW w:w="2976" w:type="dxa"/>
          </w:tcPr>
          <w:p w14:paraId="70D13AF3" w14:textId="77777777" w:rsidR="00C77809" w:rsidRPr="008A57CE" w:rsidRDefault="00C77809" w:rsidP="00C77809">
            <w:pPr>
              <w:rPr>
                <w:lang w:val="en-AU"/>
              </w:rPr>
            </w:pPr>
            <w:r w:rsidRPr="008A57CE">
              <w:rPr>
                <w:lang w:val="en-AU"/>
              </w:rPr>
              <w:t xml:space="preserve">Venue waste </w:t>
            </w:r>
          </w:p>
        </w:tc>
        <w:tc>
          <w:tcPr>
            <w:tcW w:w="1873" w:type="dxa"/>
            <w:gridSpan w:val="2"/>
          </w:tcPr>
          <w:p w14:paraId="25CF6B40" w14:textId="77777777" w:rsidR="00C77809" w:rsidRPr="008A57CE" w:rsidRDefault="00C77809" w:rsidP="00C77809">
            <w:pPr>
              <w:rPr>
                <w:lang w:val="en-AU"/>
              </w:rPr>
            </w:pPr>
            <w:r w:rsidRPr="008A57CE">
              <w:rPr>
                <w:lang w:val="en-AU"/>
              </w:rPr>
              <w:t xml:space="preserve">Yes </w:t>
            </w:r>
          </w:p>
        </w:tc>
        <w:tc>
          <w:tcPr>
            <w:tcW w:w="1765" w:type="dxa"/>
          </w:tcPr>
          <w:p w14:paraId="21522A2D" w14:textId="77777777" w:rsidR="00C77809" w:rsidRPr="008A57CE" w:rsidRDefault="00C77809" w:rsidP="00C77809">
            <w:pPr>
              <w:rPr>
                <w:lang w:val="en-AU"/>
              </w:rPr>
            </w:pPr>
            <w:r w:rsidRPr="008A57CE">
              <w:rPr>
                <w:lang w:val="en-AU"/>
              </w:rPr>
              <w:t xml:space="preserve">3 </w:t>
            </w:r>
          </w:p>
        </w:tc>
      </w:tr>
      <w:tr w:rsidR="00C77809" w:rsidRPr="008A57CE" w14:paraId="7896888C" w14:textId="77777777" w:rsidTr="00C77809">
        <w:trPr>
          <w:gridAfter w:val="1"/>
          <w:wAfter w:w="50" w:type="dxa"/>
          <w:cantSplit/>
          <w:trHeight w:val="132"/>
          <w:tblHeader/>
        </w:trPr>
        <w:tc>
          <w:tcPr>
            <w:tcW w:w="2375" w:type="dxa"/>
          </w:tcPr>
          <w:p w14:paraId="01921D43" w14:textId="77777777" w:rsidR="00C77809" w:rsidRPr="008A57CE" w:rsidRDefault="00C77809" w:rsidP="00C77809">
            <w:pPr>
              <w:rPr>
                <w:lang w:val="en-AU"/>
              </w:rPr>
            </w:pPr>
            <w:r w:rsidRPr="008A57CE">
              <w:rPr>
                <w:lang w:val="en-AU"/>
              </w:rPr>
              <w:t xml:space="preserve">Event indirect emissions </w:t>
            </w:r>
          </w:p>
        </w:tc>
        <w:tc>
          <w:tcPr>
            <w:tcW w:w="2976" w:type="dxa"/>
          </w:tcPr>
          <w:p w14:paraId="5D793D73" w14:textId="77777777" w:rsidR="00C77809" w:rsidRPr="008A57CE" w:rsidRDefault="00C77809" w:rsidP="00C77809">
            <w:pPr>
              <w:rPr>
                <w:lang w:val="en-AU"/>
              </w:rPr>
            </w:pPr>
            <w:r w:rsidRPr="008A57CE">
              <w:rPr>
                <w:lang w:val="en-AU"/>
              </w:rPr>
              <w:t xml:space="preserve">Marketing and publications </w:t>
            </w:r>
          </w:p>
        </w:tc>
        <w:tc>
          <w:tcPr>
            <w:tcW w:w="1873" w:type="dxa"/>
            <w:gridSpan w:val="2"/>
          </w:tcPr>
          <w:p w14:paraId="0F3741C5" w14:textId="77777777" w:rsidR="00C77809" w:rsidRPr="008A57CE" w:rsidRDefault="00C77809" w:rsidP="00C77809">
            <w:pPr>
              <w:rPr>
                <w:lang w:val="en-AU"/>
              </w:rPr>
            </w:pPr>
            <w:r w:rsidRPr="008A57CE">
              <w:rPr>
                <w:lang w:val="en-AU"/>
              </w:rPr>
              <w:t xml:space="preserve">Yes </w:t>
            </w:r>
          </w:p>
        </w:tc>
        <w:tc>
          <w:tcPr>
            <w:tcW w:w="1765" w:type="dxa"/>
          </w:tcPr>
          <w:p w14:paraId="55E2CB1A" w14:textId="77777777" w:rsidR="00C77809" w:rsidRPr="008A57CE" w:rsidRDefault="00C77809" w:rsidP="00C77809">
            <w:pPr>
              <w:rPr>
                <w:lang w:val="en-AU"/>
              </w:rPr>
            </w:pPr>
            <w:r w:rsidRPr="008A57CE">
              <w:rPr>
                <w:lang w:val="en-AU"/>
              </w:rPr>
              <w:t xml:space="preserve">3 </w:t>
            </w:r>
          </w:p>
        </w:tc>
      </w:tr>
      <w:tr w:rsidR="00C77809" w:rsidRPr="008A57CE" w14:paraId="261098F9" w14:textId="77777777" w:rsidTr="00C77809">
        <w:trPr>
          <w:gridAfter w:val="1"/>
          <w:wAfter w:w="50" w:type="dxa"/>
          <w:cantSplit/>
          <w:trHeight w:val="132"/>
          <w:tblHeader/>
        </w:trPr>
        <w:tc>
          <w:tcPr>
            <w:tcW w:w="2375" w:type="dxa"/>
          </w:tcPr>
          <w:p w14:paraId="42015679" w14:textId="77777777" w:rsidR="00C77809" w:rsidRPr="008A57CE" w:rsidRDefault="00C77809" w:rsidP="00C77809">
            <w:pPr>
              <w:rPr>
                <w:lang w:val="en-AU"/>
              </w:rPr>
            </w:pPr>
            <w:r w:rsidRPr="008A57CE">
              <w:rPr>
                <w:lang w:val="en-AU"/>
              </w:rPr>
              <w:t xml:space="preserve">Event indirect emissions </w:t>
            </w:r>
          </w:p>
        </w:tc>
        <w:tc>
          <w:tcPr>
            <w:tcW w:w="2976" w:type="dxa"/>
          </w:tcPr>
          <w:p w14:paraId="485F4449" w14:textId="77777777" w:rsidR="00C77809" w:rsidRPr="008A57CE" w:rsidRDefault="00C77809" w:rsidP="00C77809">
            <w:pPr>
              <w:rPr>
                <w:lang w:val="en-AU"/>
              </w:rPr>
            </w:pPr>
            <w:r w:rsidRPr="000747D0">
              <w:rPr>
                <w:lang w:val="en-AU"/>
              </w:rPr>
              <w:t>Performer/</w:t>
            </w:r>
            <w:r w:rsidRPr="008A57CE">
              <w:rPr>
                <w:lang w:val="en-AU"/>
              </w:rPr>
              <w:t xml:space="preserve">Model/staff accommodation </w:t>
            </w:r>
          </w:p>
        </w:tc>
        <w:tc>
          <w:tcPr>
            <w:tcW w:w="1873" w:type="dxa"/>
            <w:gridSpan w:val="2"/>
          </w:tcPr>
          <w:p w14:paraId="09CB86AE" w14:textId="77777777" w:rsidR="00C77809" w:rsidRPr="008A57CE" w:rsidRDefault="00C77809" w:rsidP="00C77809">
            <w:pPr>
              <w:rPr>
                <w:lang w:val="en-AU"/>
              </w:rPr>
            </w:pPr>
            <w:r w:rsidRPr="000747D0">
              <w:rPr>
                <w:lang w:val="en-AU"/>
              </w:rPr>
              <w:t>Yes</w:t>
            </w:r>
            <w:r w:rsidRPr="008A57CE">
              <w:rPr>
                <w:lang w:val="en-AU"/>
              </w:rPr>
              <w:t xml:space="preserve"> </w:t>
            </w:r>
          </w:p>
        </w:tc>
        <w:tc>
          <w:tcPr>
            <w:tcW w:w="1765" w:type="dxa"/>
          </w:tcPr>
          <w:p w14:paraId="5FFA72BD" w14:textId="77777777" w:rsidR="00C77809" w:rsidRPr="008A57CE" w:rsidRDefault="00C77809" w:rsidP="00C77809">
            <w:pPr>
              <w:rPr>
                <w:lang w:val="en-AU"/>
              </w:rPr>
            </w:pPr>
            <w:r w:rsidRPr="008A57CE">
              <w:rPr>
                <w:lang w:val="en-AU"/>
              </w:rPr>
              <w:t xml:space="preserve">3 </w:t>
            </w:r>
          </w:p>
        </w:tc>
      </w:tr>
      <w:tr w:rsidR="00C77809" w:rsidRPr="008A57CE" w14:paraId="696EC94A" w14:textId="77777777" w:rsidTr="00C77809">
        <w:trPr>
          <w:gridAfter w:val="1"/>
          <w:wAfter w:w="50" w:type="dxa"/>
          <w:cantSplit/>
          <w:trHeight w:val="132"/>
          <w:tblHeader/>
        </w:trPr>
        <w:tc>
          <w:tcPr>
            <w:tcW w:w="2375" w:type="dxa"/>
          </w:tcPr>
          <w:p w14:paraId="65C959E7" w14:textId="77777777" w:rsidR="00C77809" w:rsidRPr="008A57CE" w:rsidRDefault="00C77809" w:rsidP="00C77809">
            <w:pPr>
              <w:rPr>
                <w:lang w:val="en-AU"/>
              </w:rPr>
            </w:pPr>
            <w:r w:rsidRPr="008A57CE">
              <w:rPr>
                <w:lang w:val="en-AU"/>
              </w:rPr>
              <w:t xml:space="preserve">Event indirect emissions </w:t>
            </w:r>
          </w:p>
        </w:tc>
        <w:tc>
          <w:tcPr>
            <w:tcW w:w="2976" w:type="dxa"/>
          </w:tcPr>
          <w:p w14:paraId="788ADDC3" w14:textId="77777777" w:rsidR="00C77809" w:rsidRPr="008A57CE" w:rsidRDefault="00C77809" w:rsidP="00C77809">
            <w:pPr>
              <w:rPr>
                <w:lang w:val="en-AU"/>
              </w:rPr>
            </w:pPr>
            <w:r w:rsidRPr="000747D0">
              <w:rPr>
                <w:lang w:val="en-AU"/>
              </w:rPr>
              <w:t>Performer/</w:t>
            </w:r>
            <w:r w:rsidRPr="008A57CE">
              <w:rPr>
                <w:lang w:val="en-AU"/>
              </w:rPr>
              <w:t xml:space="preserve">Model/staff flights </w:t>
            </w:r>
          </w:p>
        </w:tc>
        <w:tc>
          <w:tcPr>
            <w:tcW w:w="1873" w:type="dxa"/>
            <w:gridSpan w:val="2"/>
          </w:tcPr>
          <w:p w14:paraId="026A82CC" w14:textId="77777777" w:rsidR="00C77809" w:rsidRPr="008A57CE" w:rsidRDefault="00C77809" w:rsidP="00C77809">
            <w:pPr>
              <w:rPr>
                <w:lang w:val="en-AU"/>
              </w:rPr>
            </w:pPr>
            <w:r w:rsidRPr="008A57CE">
              <w:rPr>
                <w:lang w:val="en-AU"/>
              </w:rPr>
              <w:t xml:space="preserve">Yes </w:t>
            </w:r>
          </w:p>
        </w:tc>
        <w:tc>
          <w:tcPr>
            <w:tcW w:w="1765" w:type="dxa"/>
          </w:tcPr>
          <w:p w14:paraId="4B287073" w14:textId="77777777" w:rsidR="00C77809" w:rsidRPr="008A57CE" w:rsidRDefault="00C77809" w:rsidP="00C77809">
            <w:pPr>
              <w:rPr>
                <w:lang w:val="en-AU"/>
              </w:rPr>
            </w:pPr>
            <w:r w:rsidRPr="008A57CE">
              <w:rPr>
                <w:lang w:val="en-AU"/>
              </w:rPr>
              <w:t xml:space="preserve">3 </w:t>
            </w:r>
          </w:p>
        </w:tc>
      </w:tr>
      <w:tr w:rsidR="00C77809" w:rsidRPr="008A57CE" w14:paraId="0FE204FB" w14:textId="77777777" w:rsidTr="00C77809">
        <w:trPr>
          <w:gridAfter w:val="1"/>
          <w:wAfter w:w="50" w:type="dxa"/>
          <w:cantSplit/>
          <w:trHeight w:val="132"/>
          <w:tblHeader/>
        </w:trPr>
        <w:tc>
          <w:tcPr>
            <w:tcW w:w="2375" w:type="dxa"/>
          </w:tcPr>
          <w:p w14:paraId="5A2D00BC" w14:textId="77777777" w:rsidR="00C77809" w:rsidRPr="008A57CE" w:rsidRDefault="00C77809" w:rsidP="00C77809">
            <w:pPr>
              <w:rPr>
                <w:lang w:val="en-AU"/>
              </w:rPr>
            </w:pPr>
            <w:r w:rsidRPr="008A57CE">
              <w:rPr>
                <w:lang w:val="en-AU"/>
              </w:rPr>
              <w:t xml:space="preserve">Event indirect emissions </w:t>
            </w:r>
          </w:p>
        </w:tc>
        <w:tc>
          <w:tcPr>
            <w:tcW w:w="2976" w:type="dxa"/>
          </w:tcPr>
          <w:p w14:paraId="0B8218DF" w14:textId="77777777" w:rsidR="00C77809" w:rsidRPr="008A57CE" w:rsidRDefault="00C77809" w:rsidP="00C77809">
            <w:pPr>
              <w:rPr>
                <w:lang w:val="en-AU"/>
              </w:rPr>
            </w:pPr>
            <w:r w:rsidRPr="008A57CE">
              <w:rPr>
                <w:lang w:val="en-AU"/>
              </w:rPr>
              <w:t xml:space="preserve">Cleaning services </w:t>
            </w:r>
          </w:p>
        </w:tc>
        <w:tc>
          <w:tcPr>
            <w:tcW w:w="1873" w:type="dxa"/>
            <w:gridSpan w:val="2"/>
          </w:tcPr>
          <w:p w14:paraId="1900DE0F" w14:textId="77777777" w:rsidR="00C77809" w:rsidRPr="008A57CE" w:rsidRDefault="00C77809" w:rsidP="00C77809">
            <w:pPr>
              <w:rPr>
                <w:lang w:val="en-AU"/>
              </w:rPr>
            </w:pPr>
            <w:r w:rsidRPr="008A57CE">
              <w:rPr>
                <w:lang w:val="en-AU"/>
              </w:rPr>
              <w:t xml:space="preserve">No </w:t>
            </w:r>
          </w:p>
        </w:tc>
        <w:tc>
          <w:tcPr>
            <w:tcW w:w="1765" w:type="dxa"/>
          </w:tcPr>
          <w:p w14:paraId="51539E05" w14:textId="77777777" w:rsidR="00C77809" w:rsidRPr="008A57CE" w:rsidRDefault="00C77809" w:rsidP="00C77809">
            <w:pPr>
              <w:rPr>
                <w:lang w:val="en-AU"/>
              </w:rPr>
            </w:pPr>
            <w:r w:rsidRPr="008A57CE">
              <w:rPr>
                <w:lang w:val="en-AU"/>
              </w:rPr>
              <w:t xml:space="preserve">3 </w:t>
            </w:r>
          </w:p>
        </w:tc>
      </w:tr>
      <w:tr w:rsidR="00C77809" w:rsidRPr="008A57CE" w14:paraId="09E191E6" w14:textId="77777777" w:rsidTr="00C77809">
        <w:trPr>
          <w:gridAfter w:val="1"/>
          <w:wAfter w:w="50" w:type="dxa"/>
          <w:cantSplit/>
          <w:trHeight w:val="132"/>
          <w:tblHeader/>
        </w:trPr>
        <w:tc>
          <w:tcPr>
            <w:tcW w:w="2375" w:type="dxa"/>
          </w:tcPr>
          <w:p w14:paraId="6CE5B885" w14:textId="77777777" w:rsidR="00C77809" w:rsidRPr="008A57CE" w:rsidRDefault="00C77809" w:rsidP="00C77809">
            <w:pPr>
              <w:rPr>
                <w:lang w:val="en-AU"/>
              </w:rPr>
            </w:pPr>
            <w:r w:rsidRPr="008A57CE">
              <w:rPr>
                <w:lang w:val="en-AU"/>
              </w:rPr>
              <w:t xml:space="preserve">Event indirect emissions </w:t>
            </w:r>
          </w:p>
        </w:tc>
        <w:tc>
          <w:tcPr>
            <w:tcW w:w="2976" w:type="dxa"/>
          </w:tcPr>
          <w:p w14:paraId="43E4AE04" w14:textId="77777777" w:rsidR="00C77809" w:rsidRPr="008A57CE" w:rsidRDefault="00C77809" w:rsidP="00C77809">
            <w:pPr>
              <w:rPr>
                <w:lang w:val="en-AU"/>
              </w:rPr>
            </w:pPr>
            <w:r w:rsidRPr="008A57CE">
              <w:rPr>
                <w:lang w:val="en-AU"/>
              </w:rPr>
              <w:t xml:space="preserve">IT services </w:t>
            </w:r>
          </w:p>
        </w:tc>
        <w:tc>
          <w:tcPr>
            <w:tcW w:w="1873" w:type="dxa"/>
            <w:gridSpan w:val="2"/>
          </w:tcPr>
          <w:p w14:paraId="36F4B847" w14:textId="77777777" w:rsidR="00C77809" w:rsidRPr="008A57CE" w:rsidRDefault="00C77809" w:rsidP="00C77809">
            <w:pPr>
              <w:rPr>
                <w:lang w:val="en-AU"/>
              </w:rPr>
            </w:pPr>
            <w:r w:rsidRPr="008A57CE">
              <w:rPr>
                <w:lang w:val="en-AU"/>
              </w:rPr>
              <w:t xml:space="preserve">No </w:t>
            </w:r>
          </w:p>
        </w:tc>
        <w:tc>
          <w:tcPr>
            <w:tcW w:w="1765" w:type="dxa"/>
          </w:tcPr>
          <w:p w14:paraId="654E5A0D" w14:textId="77777777" w:rsidR="00C77809" w:rsidRPr="008A57CE" w:rsidRDefault="00C77809" w:rsidP="00C77809">
            <w:pPr>
              <w:rPr>
                <w:lang w:val="en-AU"/>
              </w:rPr>
            </w:pPr>
            <w:r w:rsidRPr="008A57CE">
              <w:rPr>
                <w:lang w:val="en-AU"/>
              </w:rPr>
              <w:t xml:space="preserve">3 </w:t>
            </w:r>
          </w:p>
        </w:tc>
      </w:tr>
      <w:tr w:rsidR="00C77809" w:rsidRPr="008A57CE" w14:paraId="29050DEC" w14:textId="77777777" w:rsidTr="00C77809">
        <w:trPr>
          <w:gridAfter w:val="1"/>
          <w:wAfter w:w="50" w:type="dxa"/>
          <w:cantSplit/>
          <w:trHeight w:val="132"/>
          <w:tblHeader/>
        </w:trPr>
        <w:tc>
          <w:tcPr>
            <w:tcW w:w="2375" w:type="dxa"/>
          </w:tcPr>
          <w:p w14:paraId="2DA6CA9F" w14:textId="77777777" w:rsidR="00C77809" w:rsidRPr="008A57CE" w:rsidRDefault="00C77809" w:rsidP="00C77809">
            <w:pPr>
              <w:rPr>
                <w:lang w:val="en-AU"/>
              </w:rPr>
            </w:pPr>
            <w:r w:rsidRPr="008A57CE">
              <w:rPr>
                <w:lang w:val="en-AU"/>
              </w:rPr>
              <w:t xml:space="preserve">Event indirect emissions </w:t>
            </w:r>
          </w:p>
        </w:tc>
        <w:tc>
          <w:tcPr>
            <w:tcW w:w="2976" w:type="dxa"/>
          </w:tcPr>
          <w:p w14:paraId="72B7F3BA" w14:textId="77777777" w:rsidR="00C77809" w:rsidRPr="008A57CE" w:rsidRDefault="00C77809" w:rsidP="00C77809">
            <w:pPr>
              <w:rPr>
                <w:lang w:val="en-AU"/>
              </w:rPr>
            </w:pPr>
            <w:r w:rsidRPr="008A57CE">
              <w:rPr>
                <w:lang w:val="en-AU"/>
              </w:rPr>
              <w:t xml:space="preserve">Telecommunication services </w:t>
            </w:r>
          </w:p>
        </w:tc>
        <w:tc>
          <w:tcPr>
            <w:tcW w:w="1873" w:type="dxa"/>
            <w:gridSpan w:val="2"/>
          </w:tcPr>
          <w:p w14:paraId="160E08BB" w14:textId="77777777" w:rsidR="00C77809" w:rsidRPr="008A57CE" w:rsidRDefault="00C77809" w:rsidP="00C77809">
            <w:pPr>
              <w:rPr>
                <w:lang w:val="en-AU"/>
              </w:rPr>
            </w:pPr>
            <w:r w:rsidRPr="008A57CE">
              <w:rPr>
                <w:lang w:val="en-AU"/>
              </w:rPr>
              <w:t xml:space="preserve">No </w:t>
            </w:r>
          </w:p>
        </w:tc>
        <w:tc>
          <w:tcPr>
            <w:tcW w:w="1765" w:type="dxa"/>
          </w:tcPr>
          <w:p w14:paraId="33719F9D" w14:textId="77777777" w:rsidR="00C77809" w:rsidRPr="008A57CE" w:rsidRDefault="00C77809" w:rsidP="00C77809">
            <w:pPr>
              <w:rPr>
                <w:lang w:val="en-AU"/>
              </w:rPr>
            </w:pPr>
            <w:r w:rsidRPr="008A57CE">
              <w:rPr>
                <w:lang w:val="en-AU"/>
              </w:rPr>
              <w:t xml:space="preserve">3 </w:t>
            </w:r>
          </w:p>
        </w:tc>
      </w:tr>
      <w:tr w:rsidR="00C77809" w:rsidRPr="008A57CE" w14:paraId="02AC17F2" w14:textId="77777777" w:rsidTr="00C77809">
        <w:trPr>
          <w:gridAfter w:val="1"/>
          <w:wAfter w:w="50" w:type="dxa"/>
          <w:cantSplit/>
          <w:trHeight w:val="270"/>
          <w:tblHeader/>
        </w:trPr>
        <w:tc>
          <w:tcPr>
            <w:tcW w:w="2375" w:type="dxa"/>
          </w:tcPr>
          <w:p w14:paraId="41F3DFF1" w14:textId="77777777" w:rsidR="00C77809" w:rsidRPr="008A57CE" w:rsidRDefault="00C77809" w:rsidP="00C77809">
            <w:pPr>
              <w:rPr>
                <w:lang w:val="en-AU"/>
              </w:rPr>
            </w:pPr>
            <w:r w:rsidRPr="008A57CE">
              <w:rPr>
                <w:lang w:val="en-AU"/>
              </w:rPr>
              <w:t xml:space="preserve">Venue construction impacts (MTH only) </w:t>
            </w:r>
          </w:p>
        </w:tc>
        <w:tc>
          <w:tcPr>
            <w:tcW w:w="2976" w:type="dxa"/>
          </w:tcPr>
          <w:p w14:paraId="43E2E5C9" w14:textId="77777777" w:rsidR="00C77809" w:rsidRPr="008A57CE" w:rsidRDefault="00C77809" w:rsidP="00C77809">
            <w:pPr>
              <w:rPr>
                <w:lang w:val="en-AU"/>
              </w:rPr>
            </w:pPr>
            <w:r w:rsidRPr="008A57CE">
              <w:rPr>
                <w:lang w:val="en-AU"/>
              </w:rPr>
              <w:t xml:space="preserve">New construction materials </w:t>
            </w:r>
          </w:p>
        </w:tc>
        <w:tc>
          <w:tcPr>
            <w:tcW w:w="1873" w:type="dxa"/>
            <w:gridSpan w:val="2"/>
          </w:tcPr>
          <w:p w14:paraId="72962390" w14:textId="77777777" w:rsidR="00C77809" w:rsidRPr="008A57CE" w:rsidRDefault="00C77809" w:rsidP="00C77809">
            <w:pPr>
              <w:rPr>
                <w:lang w:val="en-AU"/>
              </w:rPr>
            </w:pPr>
            <w:r w:rsidRPr="008A57CE">
              <w:rPr>
                <w:lang w:val="en-AU"/>
              </w:rPr>
              <w:t xml:space="preserve">Yes </w:t>
            </w:r>
          </w:p>
        </w:tc>
        <w:tc>
          <w:tcPr>
            <w:tcW w:w="1765" w:type="dxa"/>
          </w:tcPr>
          <w:p w14:paraId="04DF3976" w14:textId="77777777" w:rsidR="00C77809" w:rsidRPr="008A57CE" w:rsidRDefault="00C77809" w:rsidP="00C77809">
            <w:pPr>
              <w:rPr>
                <w:lang w:val="en-AU"/>
              </w:rPr>
            </w:pPr>
            <w:r w:rsidRPr="008A57CE">
              <w:rPr>
                <w:lang w:val="en-AU"/>
              </w:rPr>
              <w:t xml:space="preserve">3 </w:t>
            </w:r>
          </w:p>
        </w:tc>
      </w:tr>
      <w:tr w:rsidR="00C77809" w:rsidRPr="008A57CE" w14:paraId="6F454528" w14:textId="77777777" w:rsidTr="00C77809">
        <w:trPr>
          <w:gridAfter w:val="1"/>
          <w:wAfter w:w="50" w:type="dxa"/>
          <w:cantSplit/>
          <w:trHeight w:val="270"/>
          <w:tblHeader/>
        </w:trPr>
        <w:tc>
          <w:tcPr>
            <w:tcW w:w="2375" w:type="dxa"/>
          </w:tcPr>
          <w:p w14:paraId="1F1F5B9C" w14:textId="77777777" w:rsidR="00C77809" w:rsidRPr="008A57CE" w:rsidRDefault="00C77809" w:rsidP="00C77809">
            <w:pPr>
              <w:rPr>
                <w:lang w:val="en-AU"/>
              </w:rPr>
            </w:pPr>
            <w:r w:rsidRPr="008A57CE">
              <w:rPr>
                <w:lang w:val="en-AU"/>
              </w:rPr>
              <w:t xml:space="preserve">Venue construction impacts (MTH only) </w:t>
            </w:r>
          </w:p>
        </w:tc>
        <w:tc>
          <w:tcPr>
            <w:tcW w:w="2976" w:type="dxa"/>
          </w:tcPr>
          <w:p w14:paraId="110A2819" w14:textId="77777777" w:rsidR="00C77809" w:rsidRPr="008A57CE" w:rsidRDefault="00C77809" w:rsidP="00C77809">
            <w:pPr>
              <w:rPr>
                <w:lang w:val="en-AU"/>
              </w:rPr>
            </w:pPr>
            <w:r w:rsidRPr="008A57CE">
              <w:rPr>
                <w:lang w:val="en-AU"/>
              </w:rPr>
              <w:t xml:space="preserve">Staging / equipment / lighting hire </w:t>
            </w:r>
          </w:p>
        </w:tc>
        <w:tc>
          <w:tcPr>
            <w:tcW w:w="1873" w:type="dxa"/>
            <w:gridSpan w:val="2"/>
          </w:tcPr>
          <w:p w14:paraId="4DB108F2" w14:textId="77777777" w:rsidR="00C77809" w:rsidRPr="008A57CE" w:rsidRDefault="00C77809" w:rsidP="00C77809">
            <w:pPr>
              <w:rPr>
                <w:lang w:val="en-AU"/>
              </w:rPr>
            </w:pPr>
            <w:r w:rsidRPr="008A57CE">
              <w:rPr>
                <w:lang w:val="en-AU"/>
              </w:rPr>
              <w:t xml:space="preserve">No </w:t>
            </w:r>
          </w:p>
        </w:tc>
        <w:tc>
          <w:tcPr>
            <w:tcW w:w="1765" w:type="dxa"/>
          </w:tcPr>
          <w:p w14:paraId="1BB0F8CB" w14:textId="77777777" w:rsidR="00C77809" w:rsidRPr="008A57CE" w:rsidRDefault="00C77809" w:rsidP="00C77809">
            <w:pPr>
              <w:rPr>
                <w:lang w:val="en-AU"/>
              </w:rPr>
            </w:pPr>
            <w:r w:rsidRPr="008A57CE">
              <w:rPr>
                <w:lang w:val="en-AU"/>
              </w:rPr>
              <w:t xml:space="preserve">3 </w:t>
            </w:r>
          </w:p>
        </w:tc>
      </w:tr>
      <w:tr w:rsidR="00C77809" w:rsidRPr="008A57CE" w14:paraId="51088D5F" w14:textId="77777777" w:rsidTr="00C77809">
        <w:trPr>
          <w:gridAfter w:val="1"/>
          <w:wAfter w:w="50" w:type="dxa"/>
          <w:cantSplit/>
          <w:trHeight w:val="270"/>
          <w:tblHeader/>
        </w:trPr>
        <w:tc>
          <w:tcPr>
            <w:tcW w:w="2375" w:type="dxa"/>
          </w:tcPr>
          <w:p w14:paraId="4F7AFF53" w14:textId="77777777" w:rsidR="00C77809" w:rsidRPr="008A57CE" w:rsidRDefault="00C77809" w:rsidP="00C77809">
            <w:pPr>
              <w:rPr>
                <w:lang w:val="en-AU"/>
              </w:rPr>
            </w:pPr>
            <w:r w:rsidRPr="008A57CE">
              <w:rPr>
                <w:lang w:val="en-AU"/>
              </w:rPr>
              <w:t xml:space="preserve">Venue construction impacts (MTH only) </w:t>
            </w:r>
          </w:p>
        </w:tc>
        <w:tc>
          <w:tcPr>
            <w:tcW w:w="2976" w:type="dxa"/>
          </w:tcPr>
          <w:p w14:paraId="3CA1ED4B" w14:textId="77777777" w:rsidR="00C77809" w:rsidRPr="008A57CE" w:rsidRDefault="00C77809" w:rsidP="00C77809">
            <w:pPr>
              <w:rPr>
                <w:lang w:val="en-AU"/>
              </w:rPr>
            </w:pPr>
            <w:r w:rsidRPr="008A57CE">
              <w:rPr>
                <w:lang w:val="en-AU"/>
              </w:rPr>
              <w:t xml:space="preserve">Diesel generators used during/for construction </w:t>
            </w:r>
          </w:p>
        </w:tc>
        <w:tc>
          <w:tcPr>
            <w:tcW w:w="1873" w:type="dxa"/>
            <w:gridSpan w:val="2"/>
          </w:tcPr>
          <w:p w14:paraId="2B191D6E" w14:textId="77777777" w:rsidR="00C77809" w:rsidRPr="008A57CE" w:rsidRDefault="00C77809" w:rsidP="00C77809">
            <w:pPr>
              <w:rPr>
                <w:lang w:val="en-AU"/>
              </w:rPr>
            </w:pPr>
            <w:r w:rsidRPr="008A57CE">
              <w:rPr>
                <w:lang w:val="en-AU"/>
              </w:rPr>
              <w:t xml:space="preserve">Yes </w:t>
            </w:r>
          </w:p>
        </w:tc>
        <w:tc>
          <w:tcPr>
            <w:tcW w:w="1765" w:type="dxa"/>
          </w:tcPr>
          <w:p w14:paraId="7D8ACDDD" w14:textId="77777777" w:rsidR="00C77809" w:rsidRPr="008A57CE" w:rsidRDefault="00C77809" w:rsidP="00C77809">
            <w:pPr>
              <w:rPr>
                <w:lang w:val="en-AU"/>
              </w:rPr>
            </w:pPr>
            <w:r w:rsidRPr="008A57CE">
              <w:rPr>
                <w:lang w:val="en-AU"/>
              </w:rPr>
              <w:t>1</w:t>
            </w:r>
          </w:p>
        </w:tc>
      </w:tr>
      <w:tr w:rsidR="00C77809" w:rsidRPr="002320E7" w14:paraId="3798B75C" w14:textId="77777777" w:rsidTr="00C77809">
        <w:trPr>
          <w:cantSplit/>
          <w:trHeight w:val="270"/>
          <w:tblHeader/>
        </w:trPr>
        <w:tc>
          <w:tcPr>
            <w:tcW w:w="2375" w:type="dxa"/>
          </w:tcPr>
          <w:p w14:paraId="5024598A" w14:textId="77777777" w:rsidR="00C77809" w:rsidRPr="002320E7" w:rsidRDefault="00C77809" w:rsidP="00C77809">
            <w:pPr>
              <w:rPr>
                <w:lang w:val="en-AU"/>
              </w:rPr>
            </w:pPr>
            <w:r w:rsidRPr="002320E7">
              <w:rPr>
                <w:lang w:val="en-AU"/>
              </w:rPr>
              <w:t xml:space="preserve">Venue construction impacts (MTH only) </w:t>
            </w:r>
          </w:p>
        </w:tc>
        <w:tc>
          <w:tcPr>
            <w:tcW w:w="2976" w:type="dxa"/>
          </w:tcPr>
          <w:p w14:paraId="1D8BEFC8" w14:textId="77777777" w:rsidR="00C77809" w:rsidRPr="002320E7" w:rsidRDefault="00C77809" w:rsidP="00C77809">
            <w:pPr>
              <w:rPr>
                <w:lang w:val="en-AU"/>
              </w:rPr>
            </w:pPr>
            <w:r w:rsidRPr="002320E7">
              <w:rPr>
                <w:lang w:val="en-AU"/>
              </w:rPr>
              <w:t xml:space="preserve">Fuel usage by construction contractors </w:t>
            </w:r>
          </w:p>
        </w:tc>
        <w:tc>
          <w:tcPr>
            <w:tcW w:w="1843" w:type="dxa"/>
          </w:tcPr>
          <w:p w14:paraId="1C7A8DAC" w14:textId="77777777" w:rsidR="00C77809" w:rsidRPr="002320E7" w:rsidRDefault="00C77809" w:rsidP="00C77809">
            <w:pPr>
              <w:rPr>
                <w:lang w:val="en-AU"/>
              </w:rPr>
            </w:pPr>
            <w:r w:rsidRPr="002320E7">
              <w:rPr>
                <w:lang w:val="en-AU"/>
              </w:rPr>
              <w:t xml:space="preserve">No </w:t>
            </w:r>
          </w:p>
        </w:tc>
        <w:tc>
          <w:tcPr>
            <w:tcW w:w="1845" w:type="dxa"/>
            <w:gridSpan w:val="3"/>
          </w:tcPr>
          <w:p w14:paraId="2499B3F0" w14:textId="77777777" w:rsidR="00C77809" w:rsidRPr="002320E7" w:rsidRDefault="00C77809" w:rsidP="00C77809">
            <w:pPr>
              <w:rPr>
                <w:lang w:val="en-AU"/>
              </w:rPr>
            </w:pPr>
            <w:r w:rsidRPr="002320E7">
              <w:rPr>
                <w:lang w:val="en-AU"/>
              </w:rPr>
              <w:t xml:space="preserve">1 </w:t>
            </w:r>
          </w:p>
        </w:tc>
      </w:tr>
      <w:tr w:rsidR="00C77809" w:rsidRPr="002320E7" w14:paraId="505F8E2B" w14:textId="77777777" w:rsidTr="00C77809">
        <w:trPr>
          <w:cantSplit/>
          <w:trHeight w:val="270"/>
          <w:tblHeader/>
        </w:trPr>
        <w:tc>
          <w:tcPr>
            <w:tcW w:w="2375" w:type="dxa"/>
          </w:tcPr>
          <w:p w14:paraId="78BF0E99" w14:textId="77777777" w:rsidR="00C77809" w:rsidRPr="002320E7" w:rsidRDefault="00C77809" w:rsidP="00C77809">
            <w:pPr>
              <w:rPr>
                <w:lang w:val="en-AU"/>
              </w:rPr>
            </w:pPr>
            <w:r w:rsidRPr="002320E7">
              <w:rPr>
                <w:lang w:val="en-AU"/>
              </w:rPr>
              <w:t xml:space="preserve">Venue construction impacts (MTH only) </w:t>
            </w:r>
          </w:p>
        </w:tc>
        <w:tc>
          <w:tcPr>
            <w:tcW w:w="2976" w:type="dxa"/>
          </w:tcPr>
          <w:p w14:paraId="549FFD0A" w14:textId="77777777" w:rsidR="00C77809" w:rsidRPr="002320E7" w:rsidRDefault="00C77809" w:rsidP="00C77809">
            <w:pPr>
              <w:rPr>
                <w:lang w:val="en-AU"/>
              </w:rPr>
            </w:pPr>
            <w:r w:rsidRPr="002320E7">
              <w:rPr>
                <w:lang w:val="en-AU"/>
              </w:rPr>
              <w:t xml:space="preserve">Construction waste </w:t>
            </w:r>
          </w:p>
        </w:tc>
        <w:tc>
          <w:tcPr>
            <w:tcW w:w="1843" w:type="dxa"/>
          </w:tcPr>
          <w:p w14:paraId="18BB5369" w14:textId="77777777" w:rsidR="00C77809" w:rsidRPr="002320E7" w:rsidRDefault="00C77809" w:rsidP="00C77809">
            <w:pPr>
              <w:rPr>
                <w:lang w:val="en-AU"/>
              </w:rPr>
            </w:pPr>
            <w:r w:rsidRPr="002320E7">
              <w:rPr>
                <w:lang w:val="en-AU"/>
              </w:rPr>
              <w:t xml:space="preserve">No </w:t>
            </w:r>
          </w:p>
        </w:tc>
        <w:tc>
          <w:tcPr>
            <w:tcW w:w="1845" w:type="dxa"/>
            <w:gridSpan w:val="3"/>
          </w:tcPr>
          <w:p w14:paraId="657B9066" w14:textId="77777777" w:rsidR="00C77809" w:rsidRPr="002320E7" w:rsidRDefault="00C77809" w:rsidP="00C77809">
            <w:pPr>
              <w:rPr>
                <w:lang w:val="en-AU"/>
              </w:rPr>
            </w:pPr>
            <w:r w:rsidRPr="002320E7">
              <w:rPr>
                <w:lang w:val="en-AU"/>
              </w:rPr>
              <w:t xml:space="preserve">3 </w:t>
            </w:r>
          </w:p>
        </w:tc>
      </w:tr>
      <w:tr w:rsidR="00C77809" w:rsidRPr="002320E7" w14:paraId="7A6D0AD7" w14:textId="77777777" w:rsidTr="00C77809">
        <w:trPr>
          <w:cantSplit/>
          <w:trHeight w:val="132"/>
          <w:tblHeader/>
        </w:trPr>
        <w:tc>
          <w:tcPr>
            <w:tcW w:w="2375" w:type="dxa"/>
          </w:tcPr>
          <w:p w14:paraId="7CDDDDC9" w14:textId="77777777" w:rsidR="00C77809" w:rsidRPr="002320E7" w:rsidRDefault="00C77809" w:rsidP="00C77809">
            <w:pPr>
              <w:rPr>
                <w:lang w:val="en-AU"/>
              </w:rPr>
            </w:pPr>
            <w:r w:rsidRPr="002320E7">
              <w:rPr>
                <w:lang w:val="en-AU"/>
              </w:rPr>
              <w:t xml:space="preserve">Warehouse emissions </w:t>
            </w:r>
          </w:p>
        </w:tc>
        <w:tc>
          <w:tcPr>
            <w:tcW w:w="2976" w:type="dxa"/>
          </w:tcPr>
          <w:p w14:paraId="669263E0" w14:textId="77777777" w:rsidR="00C77809" w:rsidRPr="002320E7" w:rsidRDefault="00C77809" w:rsidP="00C77809">
            <w:pPr>
              <w:rPr>
                <w:lang w:val="en-AU"/>
              </w:rPr>
            </w:pPr>
            <w:r w:rsidRPr="002320E7">
              <w:rPr>
                <w:lang w:val="en-AU"/>
              </w:rPr>
              <w:t xml:space="preserve">Warehouse electricity usage </w:t>
            </w:r>
          </w:p>
        </w:tc>
        <w:tc>
          <w:tcPr>
            <w:tcW w:w="1843" w:type="dxa"/>
          </w:tcPr>
          <w:p w14:paraId="190E6BF5" w14:textId="77777777" w:rsidR="00C77809" w:rsidRPr="002320E7" w:rsidRDefault="00C77809" w:rsidP="00C77809">
            <w:pPr>
              <w:rPr>
                <w:lang w:val="en-AU"/>
              </w:rPr>
            </w:pPr>
            <w:r w:rsidRPr="002320E7">
              <w:rPr>
                <w:lang w:val="en-AU"/>
              </w:rPr>
              <w:t xml:space="preserve">No </w:t>
            </w:r>
          </w:p>
        </w:tc>
        <w:tc>
          <w:tcPr>
            <w:tcW w:w="1845" w:type="dxa"/>
            <w:gridSpan w:val="3"/>
          </w:tcPr>
          <w:p w14:paraId="595058D7" w14:textId="77777777" w:rsidR="00C77809" w:rsidRPr="002320E7" w:rsidRDefault="00C77809" w:rsidP="00C77809">
            <w:pPr>
              <w:rPr>
                <w:lang w:val="en-AU"/>
              </w:rPr>
            </w:pPr>
            <w:r w:rsidRPr="002320E7">
              <w:rPr>
                <w:lang w:val="en-AU"/>
              </w:rPr>
              <w:t xml:space="preserve">2 </w:t>
            </w:r>
          </w:p>
        </w:tc>
      </w:tr>
    </w:tbl>
    <w:bookmarkEnd w:id="16"/>
    <w:p w14:paraId="62547D61" w14:textId="508AFA37" w:rsidR="00C77809" w:rsidRDefault="00C77809" w:rsidP="00C77809">
      <w:pPr>
        <w:pStyle w:val="Heading4"/>
        <w:rPr>
          <w:lang w:val="en-AU"/>
        </w:rPr>
      </w:pPr>
      <w:r w:rsidRPr="000747D0">
        <w:rPr>
          <w:color w:val="000000" w:themeColor="text1"/>
        </w:rPr>
        <w:t>Tier 2</w:t>
      </w:r>
      <w:r w:rsidR="005238B0">
        <w:rPr>
          <w:color w:val="000000" w:themeColor="text1"/>
        </w:rPr>
        <w:t xml:space="preserve"> –</w:t>
      </w:r>
      <w:r w:rsidRPr="000747D0">
        <w:rPr>
          <w:color w:val="000000" w:themeColor="text1"/>
        </w:rPr>
        <w:t xml:space="preserve"> </w:t>
      </w:r>
      <w:r w:rsidRPr="002320E7">
        <w:rPr>
          <w:lang w:val="en-AU"/>
        </w:rPr>
        <w:t>Run by partner, but directly induced by Melbourne Fashion Week</w:t>
      </w:r>
      <w:r w:rsidRPr="000747D0">
        <w:rPr>
          <w:lang w:val="en-AU"/>
        </w:rPr>
        <w:t>/Melbourne Music Week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975"/>
        <w:gridCol w:w="1843"/>
        <w:gridCol w:w="1843"/>
      </w:tblGrid>
      <w:tr w:rsidR="00C77809" w:rsidRPr="000747D0" w14:paraId="25876177" w14:textId="77777777" w:rsidTr="00C77809">
        <w:trPr>
          <w:cantSplit/>
          <w:trHeight w:val="254"/>
          <w:tblHeader/>
        </w:trPr>
        <w:tc>
          <w:tcPr>
            <w:tcW w:w="2378" w:type="dxa"/>
            <w:shd w:val="clear" w:color="auto" w:fill="auto"/>
          </w:tcPr>
          <w:p w14:paraId="7D35DBC2" w14:textId="77777777" w:rsidR="00C77809" w:rsidRPr="00C77809" w:rsidRDefault="00C77809" w:rsidP="00C77809">
            <w:pPr>
              <w:rPr>
                <w:b/>
                <w:bCs/>
                <w:lang w:val="en-AU"/>
              </w:rPr>
            </w:pPr>
            <w:bookmarkStart w:id="17" w:name="ColumnTitle_Run_by_Partner"/>
            <w:r w:rsidRPr="00C77809">
              <w:rPr>
                <w:b/>
                <w:bCs/>
                <w:lang w:val="en-AU"/>
              </w:rPr>
              <w:t xml:space="preserve">Source type </w:t>
            </w:r>
          </w:p>
        </w:tc>
        <w:tc>
          <w:tcPr>
            <w:tcW w:w="2975" w:type="dxa"/>
            <w:shd w:val="clear" w:color="auto" w:fill="auto"/>
          </w:tcPr>
          <w:p w14:paraId="163C8B5A" w14:textId="77777777" w:rsidR="00C77809" w:rsidRPr="00C77809" w:rsidRDefault="00C77809" w:rsidP="00C77809">
            <w:pPr>
              <w:rPr>
                <w:b/>
                <w:bCs/>
                <w:lang w:val="en-AU"/>
              </w:rPr>
            </w:pPr>
            <w:r w:rsidRPr="00C77809">
              <w:rPr>
                <w:b/>
                <w:bCs/>
                <w:lang w:val="en-AU"/>
              </w:rPr>
              <w:t xml:space="preserve">Emissions source </w:t>
            </w:r>
          </w:p>
        </w:tc>
        <w:tc>
          <w:tcPr>
            <w:tcW w:w="1843" w:type="dxa"/>
            <w:shd w:val="clear" w:color="auto" w:fill="auto"/>
          </w:tcPr>
          <w:p w14:paraId="2BBAC880" w14:textId="77777777" w:rsidR="00C77809" w:rsidRPr="00C77809" w:rsidRDefault="00C77809" w:rsidP="00C77809">
            <w:pPr>
              <w:rPr>
                <w:b/>
                <w:bCs/>
                <w:lang w:val="en-AU"/>
              </w:rPr>
            </w:pPr>
            <w:r w:rsidRPr="00C77809">
              <w:rPr>
                <w:b/>
                <w:bCs/>
                <w:lang w:val="en-AU"/>
              </w:rPr>
              <w:t xml:space="preserve">Included in scope </w:t>
            </w:r>
          </w:p>
        </w:tc>
        <w:tc>
          <w:tcPr>
            <w:tcW w:w="1843" w:type="dxa"/>
            <w:shd w:val="clear" w:color="auto" w:fill="auto"/>
          </w:tcPr>
          <w:p w14:paraId="37AA90F2" w14:textId="77777777" w:rsidR="00C77809" w:rsidRPr="00C77809" w:rsidRDefault="00C77809" w:rsidP="00C77809">
            <w:pPr>
              <w:rPr>
                <w:b/>
                <w:bCs/>
                <w:lang w:val="en-AU"/>
              </w:rPr>
            </w:pPr>
            <w:r w:rsidRPr="00C77809">
              <w:rPr>
                <w:b/>
                <w:bCs/>
                <w:lang w:val="en-AU"/>
              </w:rPr>
              <w:t xml:space="preserve">Scope Category </w:t>
            </w:r>
          </w:p>
        </w:tc>
      </w:tr>
      <w:tr w:rsidR="00C77809" w:rsidRPr="000747D0" w14:paraId="49017006" w14:textId="77777777" w:rsidTr="00C77809">
        <w:trPr>
          <w:cantSplit/>
          <w:trHeight w:val="132"/>
          <w:tblHeader/>
        </w:trPr>
        <w:tc>
          <w:tcPr>
            <w:tcW w:w="2378" w:type="dxa"/>
            <w:shd w:val="clear" w:color="auto" w:fill="auto"/>
          </w:tcPr>
          <w:p w14:paraId="55B2EBFE" w14:textId="77777777" w:rsidR="00C77809" w:rsidRPr="000747D0" w:rsidRDefault="00C77809" w:rsidP="00C77809">
            <w:pPr>
              <w:rPr>
                <w:lang w:val="en-AU"/>
              </w:rPr>
            </w:pPr>
            <w:r w:rsidRPr="000747D0">
              <w:rPr>
                <w:lang w:val="en-AU"/>
              </w:rPr>
              <w:t xml:space="preserve">Venue energy emissions </w:t>
            </w:r>
          </w:p>
        </w:tc>
        <w:tc>
          <w:tcPr>
            <w:tcW w:w="2975" w:type="dxa"/>
            <w:shd w:val="clear" w:color="auto" w:fill="auto"/>
          </w:tcPr>
          <w:p w14:paraId="4C146057" w14:textId="77777777" w:rsidR="00C77809" w:rsidRPr="000747D0" w:rsidRDefault="00C77809" w:rsidP="00C77809">
            <w:pPr>
              <w:rPr>
                <w:lang w:val="en-AU"/>
              </w:rPr>
            </w:pPr>
            <w:r w:rsidRPr="000747D0">
              <w:rPr>
                <w:lang w:val="en-AU"/>
              </w:rPr>
              <w:t xml:space="preserve">Diesel generators </w:t>
            </w:r>
          </w:p>
        </w:tc>
        <w:tc>
          <w:tcPr>
            <w:tcW w:w="1843" w:type="dxa"/>
            <w:shd w:val="clear" w:color="auto" w:fill="auto"/>
          </w:tcPr>
          <w:p w14:paraId="44C0C71E"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32A397C0" w14:textId="77777777" w:rsidR="00C77809" w:rsidRPr="000747D0" w:rsidRDefault="00C77809" w:rsidP="00C77809">
            <w:pPr>
              <w:rPr>
                <w:lang w:val="en-AU"/>
              </w:rPr>
            </w:pPr>
            <w:r w:rsidRPr="000747D0">
              <w:rPr>
                <w:lang w:val="en-AU"/>
              </w:rPr>
              <w:t xml:space="preserve">1 </w:t>
            </w:r>
          </w:p>
        </w:tc>
      </w:tr>
      <w:tr w:rsidR="00C77809" w:rsidRPr="000747D0" w14:paraId="53135CDC" w14:textId="77777777" w:rsidTr="00C77809">
        <w:trPr>
          <w:cantSplit/>
          <w:trHeight w:val="132"/>
          <w:tblHeader/>
        </w:trPr>
        <w:tc>
          <w:tcPr>
            <w:tcW w:w="2378" w:type="dxa"/>
            <w:shd w:val="clear" w:color="auto" w:fill="auto"/>
          </w:tcPr>
          <w:p w14:paraId="573376C3" w14:textId="77777777" w:rsidR="00C77809" w:rsidRPr="000747D0" w:rsidRDefault="00C77809" w:rsidP="00C77809">
            <w:pPr>
              <w:rPr>
                <w:lang w:val="en-AU"/>
              </w:rPr>
            </w:pPr>
            <w:r w:rsidRPr="000747D0">
              <w:rPr>
                <w:lang w:val="en-AU"/>
              </w:rPr>
              <w:t xml:space="preserve">Venue energy emissions </w:t>
            </w:r>
          </w:p>
        </w:tc>
        <w:tc>
          <w:tcPr>
            <w:tcW w:w="2975" w:type="dxa"/>
            <w:shd w:val="clear" w:color="auto" w:fill="auto"/>
          </w:tcPr>
          <w:p w14:paraId="6C5FF5D9" w14:textId="77777777" w:rsidR="00C77809" w:rsidRPr="000747D0" w:rsidRDefault="00C77809" w:rsidP="00C77809">
            <w:pPr>
              <w:rPr>
                <w:lang w:val="en-AU"/>
              </w:rPr>
            </w:pPr>
            <w:r w:rsidRPr="000747D0">
              <w:rPr>
                <w:lang w:val="en-AU"/>
              </w:rPr>
              <w:t xml:space="preserve">Electricity usage </w:t>
            </w:r>
          </w:p>
        </w:tc>
        <w:tc>
          <w:tcPr>
            <w:tcW w:w="1843" w:type="dxa"/>
            <w:shd w:val="clear" w:color="auto" w:fill="auto"/>
          </w:tcPr>
          <w:p w14:paraId="38676BF6"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72A58605" w14:textId="77777777" w:rsidR="00C77809" w:rsidRPr="000747D0" w:rsidRDefault="00C77809" w:rsidP="00C77809">
            <w:pPr>
              <w:rPr>
                <w:lang w:val="en-AU"/>
              </w:rPr>
            </w:pPr>
            <w:r w:rsidRPr="000747D0">
              <w:rPr>
                <w:lang w:val="en-AU"/>
              </w:rPr>
              <w:t xml:space="preserve">2 </w:t>
            </w:r>
          </w:p>
        </w:tc>
      </w:tr>
      <w:tr w:rsidR="00C77809" w:rsidRPr="000747D0" w14:paraId="615530BE" w14:textId="77777777" w:rsidTr="00C77809">
        <w:trPr>
          <w:cantSplit/>
          <w:trHeight w:val="132"/>
          <w:tblHeader/>
        </w:trPr>
        <w:tc>
          <w:tcPr>
            <w:tcW w:w="2378" w:type="dxa"/>
            <w:shd w:val="clear" w:color="auto" w:fill="auto"/>
          </w:tcPr>
          <w:p w14:paraId="28DE4541" w14:textId="77777777" w:rsidR="00C77809" w:rsidRPr="000747D0" w:rsidRDefault="00C77809" w:rsidP="00C77809">
            <w:pPr>
              <w:rPr>
                <w:lang w:val="en-AU"/>
              </w:rPr>
            </w:pPr>
            <w:r w:rsidRPr="000747D0">
              <w:rPr>
                <w:lang w:val="en-AU"/>
              </w:rPr>
              <w:t xml:space="preserve">Event indirect emissions </w:t>
            </w:r>
          </w:p>
        </w:tc>
        <w:tc>
          <w:tcPr>
            <w:tcW w:w="2975" w:type="dxa"/>
            <w:shd w:val="clear" w:color="auto" w:fill="auto"/>
          </w:tcPr>
          <w:p w14:paraId="7213A694" w14:textId="77777777" w:rsidR="00C77809" w:rsidRPr="000747D0" w:rsidRDefault="00C77809" w:rsidP="00C77809">
            <w:pPr>
              <w:rPr>
                <w:lang w:val="en-AU"/>
              </w:rPr>
            </w:pPr>
            <w:r w:rsidRPr="000747D0">
              <w:rPr>
                <w:lang w:val="en-AU"/>
              </w:rPr>
              <w:t xml:space="preserve">Food consumed by patrons </w:t>
            </w:r>
          </w:p>
        </w:tc>
        <w:tc>
          <w:tcPr>
            <w:tcW w:w="1843" w:type="dxa"/>
            <w:shd w:val="clear" w:color="auto" w:fill="auto"/>
          </w:tcPr>
          <w:p w14:paraId="76EA5F0B"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184D1CC3" w14:textId="77777777" w:rsidR="00C77809" w:rsidRPr="000747D0" w:rsidRDefault="00C77809" w:rsidP="00C77809">
            <w:pPr>
              <w:rPr>
                <w:lang w:val="en-AU"/>
              </w:rPr>
            </w:pPr>
            <w:r w:rsidRPr="000747D0">
              <w:rPr>
                <w:lang w:val="en-AU"/>
              </w:rPr>
              <w:t xml:space="preserve">3 </w:t>
            </w:r>
          </w:p>
        </w:tc>
      </w:tr>
      <w:tr w:rsidR="00C77809" w:rsidRPr="000747D0" w14:paraId="4146277E" w14:textId="77777777" w:rsidTr="00C77809">
        <w:trPr>
          <w:cantSplit/>
          <w:trHeight w:val="132"/>
          <w:tblHeader/>
        </w:trPr>
        <w:tc>
          <w:tcPr>
            <w:tcW w:w="2378" w:type="dxa"/>
            <w:shd w:val="clear" w:color="auto" w:fill="auto"/>
          </w:tcPr>
          <w:p w14:paraId="1C3BC2F1" w14:textId="77777777" w:rsidR="00C77809" w:rsidRPr="000747D0" w:rsidRDefault="00C77809" w:rsidP="00C77809">
            <w:pPr>
              <w:rPr>
                <w:lang w:val="en-AU"/>
              </w:rPr>
            </w:pPr>
            <w:r w:rsidRPr="000747D0">
              <w:rPr>
                <w:lang w:val="en-AU"/>
              </w:rPr>
              <w:lastRenderedPageBreak/>
              <w:t xml:space="preserve">Event indirect emissions </w:t>
            </w:r>
          </w:p>
        </w:tc>
        <w:tc>
          <w:tcPr>
            <w:tcW w:w="2975" w:type="dxa"/>
            <w:shd w:val="clear" w:color="auto" w:fill="auto"/>
          </w:tcPr>
          <w:p w14:paraId="3BB249D4" w14:textId="77777777" w:rsidR="00C77809" w:rsidRPr="000747D0" w:rsidRDefault="00C77809" w:rsidP="00C77809">
            <w:pPr>
              <w:rPr>
                <w:lang w:val="en-AU"/>
              </w:rPr>
            </w:pPr>
            <w:r w:rsidRPr="000747D0">
              <w:rPr>
                <w:lang w:val="en-AU"/>
              </w:rPr>
              <w:t xml:space="preserve">Drink consumed by patrons </w:t>
            </w:r>
          </w:p>
        </w:tc>
        <w:tc>
          <w:tcPr>
            <w:tcW w:w="1843" w:type="dxa"/>
            <w:shd w:val="clear" w:color="auto" w:fill="auto"/>
          </w:tcPr>
          <w:p w14:paraId="41C71F49"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0F08021F" w14:textId="77777777" w:rsidR="00C77809" w:rsidRPr="000747D0" w:rsidRDefault="00C77809" w:rsidP="00C77809">
            <w:pPr>
              <w:rPr>
                <w:lang w:val="en-AU"/>
              </w:rPr>
            </w:pPr>
            <w:r w:rsidRPr="000747D0">
              <w:rPr>
                <w:lang w:val="en-AU"/>
              </w:rPr>
              <w:t xml:space="preserve">3 </w:t>
            </w:r>
          </w:p>
        </w:tc>
      </w:tr>
      <w:tr w:rsidR="00C77809" w:rsidRPr="000747D0" w14:paraId="511A7F10" w14:textId="77777777" w:rsidTr="00C77809">
        <w:trPr>
          <w:cantSplit/>
          <w:trHeight w:val="132"/>
          <w:tblHeader/>
        </w:trPr>
        <w:tc>
          <w:tcPr>
            <w:tcW w:w="2378" w:type="dxa"/>
            <w:shd w:val="clear" w:color="auto" w:fill="auto"/>
          </w:tcPr>
          <w:p w14:paraId="3B65EA82" w14:textId="77777777" w:rsidR="00C77809" w:rsidRPr="000747D0" w:rsidRDefault="00C77809" w:rsidP="00C77809">
            <w:pPr>
              <w:rPr>
                <w:lang w:val="en-AU"/>
              </w:rPr>
            </w:pPr>
            <w:r w:rsidRPr="000747D0">
              <w:rPr>
                <w:lang w:val="en-AU"/>
              </w:rPr>
              <w:t xml:space="preserve">N/A </w:t>
            </w:r>
          </w:p>
        </w:tc>
        <w:tc>
          <w:tcPr>
            <w:tcW w:w="2975" w:type="dxa"/>
            <w:shd w:val="clear" w:color="auto" w:fill="auto"/>
          </w:tcPr>
          <w:p w14:paraId="4FE25FFB" w14:textId="77777777" w:rsidR="00C77809" w:rsidRPr="000747D0" w:rsidRDefault="00C77809" w:rsidP="00C77809">
            <w:pPr>
              <w:rPr>
                <w:lang w:val="en-AU"/>
              </w:rPr>
            </w:pPr>
            <w:r w:rsidRPr="000747D0">
              <w:rPr>
                <w:lang w:val="en-AU"/>
              </w:rPr>
              <w:t xml:space="preserve">Patron accommodation </w:t>
            </w:r>
          </w:p>
        </w:tc>
        <w:tc>
          <w:tcPr>
            <w:tcW w:w="1843" w:type="dxa"/>
            <w:shd w:val="clear" w:color="auto" w:fill="auto"/>
          </w:tcPr>
          <w:p w14:paraId="3A890975" w14:textId="77777777" w:rsidR="00C77809" w:rsidRPr="000747D0" w:rsidRDefault="00C77809" w:rsidP="00C77809">
            <w:pPr>
              <w:rPr>
                <w:lang w:val="en-AU"/>
              </w:rPr>
            </w:pPr>
            <w:r w:rsidRPr="000747D0">
              <w:rPr>
                <w:lang w:val="en-AU"/>
              </w:rPr>
              <w:t xml:space="preserve">No </w:t>
            </w:r>
          </w:p>
        </w:tc>
        <w:tc>
          <w:tcPr>
            <w:tcW w:w="1843" w:type="dxa"/>
            <w:shd w:val="clear" w:color="auto" w:fill="auto"/>
          </w:tcPr>
          <w:p w14:paraId="363CAF36" w14:textId="77777777" w:rsidR="00C77809" w:rsidRPr="000747D0" w:rsidRDefault="00C77809" w:rsidP="00C77809">
            <w:pPr>
              <w:rPr>
                <w:lang w:val="en-AU"/>
              </w:rPr>
            </w:pPr>
            <w:r w:rsidRPr="000747D0">
              <w:rPr>
                <w:lang w:val="en-AU"/>
              </w:rPr>
              <w:t xml:space="preserve">3 </w:t>
            </w:r>
          </w:p>
        </w:tc>
      </w:tr>
      <w:tr w:rsidR="00C77809" w:rsidRPr="000747D0" w14:paraId="4DAAEC3E" w14:textId="77777777" w:rsidTr="00C77809">
        <w:trPr>
          <w:cantSplit/>
          <w:trHeight w:val="132"/>
          <w:tblHeader/>
        </w:trPr>
        <w:tc>
          <w:tcPr>
            <w:tcW w:w="2378" w:type="dxa"/>
            <w:shd w:val="clear" w:color="auto" w:fill="auto"/>
          </w:tcPr>
          <w:p w14:paraId="0089577E" w14:textId="77777777" w:rsidR="00C77809" w:rsidRPr="000747D0" w:rsidRDefault="00C77809" w:rsidP="00C77809">
            <w:pPr>
              <w:rPr>
                <w:lang w:val="en-AU"/>
              </w:rPr>
            </w:pPr>
            <w:r w:rsidRPr="000747D0">
              <w:rPr>
                <w:lang w:val="en-AU"/>
              </w:rPr>
              <w:t xml:space="preserve">N/A </w:t>
            </w:r>
          </w:p>
        </w:tc>
        <w:tc>
          <w:tcPr>
            <w:tcW w:w="2975" w:type="dxa"/>
            <w:shd w:val="clear" w:color="auto" w:fill="auto"/>
          </w:tcPr>
          <w:p w14:paraId="2FEE259C" w14:textId="77777777" w:rsidR="00C77809" w:rsidRPr="000747D0" w:rsidRDefault="00C77809" w:rsidP="00C77809">
            <w:pPr>
              <w:rPr>
                <w:lang w:val="en-AU"/>
              </w:rPr>
            </w:pPr>
            <w:r w:rsidRPr="000747D0">
              <w:rPr>
                <w:lang w:val="en-AU"/>
              </w:rPr>
              <w:t xml:space="preserve">Patron transport </w:t>
            </w:r>
          </w:p>
        </w:tc>
        <w:tc>
          <w:tcPr>
            <w:tcW w:w="1843" w:type="dxa"/>
            <w:shd w:val="clear" w:color="auto" w:fill="auto"/>
          </w:tcPr>
          <w:p w14:paraId="5E25AB49"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6628FE26" w14:textId="77777777" w:rsidR="00C77809" w:rsidRPr="000747D0" w:rsidRDefault="00C77809" w:rsidP="00C77809">
            <w:pPr>
              <w:rPr>
                <w:lang w:val="en-AU"/>
              </w:rPr>
            </w:pPr>
            <w:r w:rsidRPr="000747D0">
              <w:rPr>
                <w:lang w:val="en-AU"/>
              </w:rPr>
              <w:t xml:space="preserve">3 </w:t>
            </w:r>
          </w:p>
        </w:tc>
      </w:tr>
      <w:tr w:rsidR="00C77809" w:rsidRPr="000747D0" w14:paraId="7F6CDE6A" w14:textId="77777777" w:rsidTr="00C77809">
        <w:trPr>
          <w:cantSplit/>
          <w:trHeight w:val="244"/>
          <w:tblHeader/>
        </w:trPr>
        <w:tc>
          <w:tcPr>
            <w:tcW w:w="2378" w:type="dxa"/>
            <w:shd w:val="clear" w:color="auto" w:fill="auto"/>
          </w:tcPr>
          <w:p w14:paraId="3135EAB4" w14:textId="77777777" w:rsidR="00C77809" w:rsidRPr="000747D0" w:rsidRDefault="00C77809" w:rsidP="00C77809">
            <w:pPr>
              <w:rPr>
                <w:lang w:val="en-AU"/>
              </w:rPr>
            </w:pPr>
            <w:r w:rsidRPr="000747D0">
              <w:rPr>
                <w:lang w:val="en-AU"/>
              </w:rPr>
              <w:t xml:space="preserve">N/A </w:t>
            </w:r>
          </w:p>
        </w:tc>
        <w:tc>
          <w:tcPr>
            <w:tcW w:w="2975" w:type="dxa"/>
            <w:shd w:val="clear" w:color="auto" w:fill="auto"/>
          </w:tcPr>
          <w:p w14:paraId="7C79CF9B" w14:textId="77777777" w:rsidR="00C77809" w:rsidRPr="000747D0" w:rsidRDefault="00C77809" w:rsidP="00C77809">
            <w:pPr>
              <w:rPr>
                <w:lang w:val="en-AU"/>
              </w:rPr>
            </w:pPr>
            <w:r w:rsidRPr="000747D0">
              <w:rPr>
                <w:lang w:val="en-AU"/>
              </w:rPr>
              <w:t xml:space="preserve">Venue waste </w:t>
            </w:r>
          </w:p>
        </w:tc>
        <w:tc>
          <w:tcPr>
            <w:tcW w:w="1843" w:type="dxa"/>
            <w:shd w:val="clear" w:color="auto" w:fill="auto"/>
          </w:tcPr>
          <w:p w14:paraId="681E73CE" w14:textId="77777777" w:rsidR="00C77809" w:rsidRPr="000747D0" w:rsidRDefault="00C77809" w:rsidP="00C77809">
            <w:pPr>
              <w:rPr>
                <w:lang w:val="en-AU"/>
              </w:rPr>
            </w:pPr>
            <w:r w:rsidRPr="000747D0">
              <w:rPr>
                <w:lang w:val="en-AU"/>
              </w:rPr>
              <w:t xml:space="preserve">Yes </w:t>
            </w:r>
          </w:p>
        </w:tc>
        <w:tc>
          <w:tcPr>
            <w:tcW w:w="1843" w:type="dxa"/>
            <w:shd w:val="clear" w:color="auto" w:fill="auto"/>
          </w:tcPr>
          <w:p w14:paraId="734D8178" w14:textId="77777777" w:rsidR="00C77809" w:rsidRPr="000747D0" w:rsidRDefault="00C77809" w:rsidP="00C77809">
            <w:pPr>
              <w:rPr>
                <w:lang w:val="en-AU"/>
              </w:rPr>
            </w:pPr>
            <w:r w:rsidRPr="000747D0">
              <w:rPr>
                <w:lang w:val="en-AU"/>
              </w:rPr>
              <w:t xml:space="preserve">3 </w:t>
            </w:r>
          </w:p>
        </w:tc>
      </w:tr>
    </w:tbl>
    <w:bookmarkEnd w:id="17"/>
    <w:p w14:paraId="60EDE8B4" w14:textId="77777777" w:rsidR="00C77809" w:rsidRPr="000747D0" w:rsidRDefault="00C77809" w:rsidP="00C77809">
      <w:pPr>
        <w:pStyle w:val="Heading4"/>
        <w:rPr>
          <w:lang w:val="en-AU"/>
        </w:rPr>
      </w:pPr>
      <w:r w:rsidRPr="000747D0">
        <w:rPr>
          <w:lang w:val="en-AU"/>
        </w:rPr>
        <w:t xml:space="preserve">Tier 3. Partner directly manages event, under the banner of Melbourne Fashion Week/Melbourne Music Week </w:t>
      </w:r>
    </w:p>
    <w:p w14:paraId="233CF399" w14:textId="77777777" w:rsidR="00C77809" w:rsidRPr="000747D0" w:rsidRDefault="00C77809" w:rsidP="00C77809">
      <w:pPr>
        <w:rPr>
          <w:lang w:val="en-AU"/>
        </w:rPr>
      </w:pPr>
      <w:r w:rsidRPr="000747D0">
        <w:rPr>
          <w:lang w:val="en-AU"/>
        </w:rPr>
        <w:t xml:space="preserve">No emission sources in scope. </w:t>
      </w:r>
    </w:p>
    <w:p w14:paraId="745A0C3F" w14:textId="77777777" w:rsidR="00C77809" w:rsidRPr="000747D0" w:rsidRDefault="00C77809" w:rsidP="00C77809">
      <w:pPr>
        <w:rPr>
          <w:lang w:val="en-AU"/>
        </w:rPr>
      </w:pPr>
      <w:r w:rsidRPr="000747D0">
        <w:rPr>
          <w:lang w:val="en-AU"/>
        </w:rPr>
        <w:t xml:space="preserve">The following sources were excluded from the emissions boundary: </w:t>
      </w:r>
    </w:p>
    <w:p w14:paraId="5EF5F1E2" w14:textId="045A77EB" w:rsidR="00C77809" w:rsidRPr="000747D0" w:rsidRDefault="00C77809" w:rsidP="00C77809">
      <w:pPr>
        <w:pStyle w:val="ListBullet"/>
        <w:rPr>
          <w:lang w:val="en-AU"/>
        </w:rPr>
      </w:pPr>
      <w:r w:rsidRPr="000747D0">
        <w:rPr>
          <w:lang w:val="en-AU"/>
        </w:rPr>
        <w:t xml:space="preserve">Contractor vehicle use </w:t>
      </w:r>
    </w:p>
    <w:p w14:paraId="1C4D57FA" w14:textId="18BA8A69" w:rsidR="00C77809" w:rsidRPr="000747D0" w:rsidRDefault="00C77809" w:rsidP="00C77809">
      <w:pPr>
        <w:pStyle w:val="ListBullet"/>
        <w:rPr>
          <w:lang w:val="en-AU"/>
        </w:rPr>
      </w:pPr>
      <w:r w:rsidRPr="000747D0">
        <w:rPr>
          <w:lang w:val="en-AU"/>
        </w:rPr>
        <w:t xml:space="preserve">Portable toilet usage </w:t>
      </w:r>
    </w:p>
    <w:p w14:paraId="5E34C25F" w14:textId="443FFE76" w:rsidR="00C77809" w:rsidRPr="000747D0" w:rsidRDefault="00C77809" w:rsidP="00C77809">
      <w:pPr>
        <w:pStyle w:val="ListBullet"/>
        <w:rPr>
          <w:lang w:val="en-AU"/>
        </w:rPr>
      </w:pPr>
      <w:r w:rsidRPr="000747D0">
        <w:rPr>
          <w:lang w:val="en-AU"/>
        </w:rPr>
        <w:t xml:space="preserve">Patron accommodation </w:t>
      </w:r>
    </w:p>
    <w:p w14:paraId="2911AB54" w14:textId="541428D9" w:rsidR="00C77809" w:rsidRPr="000747D0" w:rsidRDefault="00C77809" w:rsidP="00C77809">
      <w:pPr>
        <w:pStyle w:val="ListBullet"/>
        <w:rPr>
          <w:lang w:val="en-AU"/>
        </w:rPr>
      </w:pPr>
      <w:r w:rsidRPr="000747D0">
        <w:rPr>
          <w:lang w:val="en-AU"/>
        </w:rPr>
        <w:t xml:space="preserve">Construction Waste </w:t>
      </w:r>
    </w:p>
    <w:p w14:paraId="25E66FD0" w14:textId="74EB3AE7" w:rsidR="00C77809" w:rsidRPr="000747D0" w:rsidRDefault="00C77809" w:rsidP="00C77809">
      <w:pPr>
        <w:pStyle w:val="ListBullet"/>
        <w:rPr>
          <w:lang w:val="en-AU"/>
        </w:rPr>
      </w:pPr>
      <w:r w:rsidRPr="000747D0">
        <w:rPr>
          <w:lang w:val="en-AU"/>
        </w:rPr>
        <w:t xml:space="preserve">Warehouse electricity usage </w:t>
      </w:r>
    </w:p>
    <w:p w14:paraId="145C3E2E" w14:textId="47465E9A" w:rsidR="00C77809" w:rsidRPr="000747D0" w:rsidRDefault="00C77809" w:rsidP="00C77809">
      <w:pPr>
        <w:pStyle w:val="ListBullet"/>
        <w:rPr>
          <w:lang w:val="en-AU"/>
        </w:rPr>
      </w:pPr>
      <w:r w:rsidRPr="000747D0">
        <w:rPr>
          <w:lang w:val="en-AU"/>
        </w:rPr>
        <w:t xml:space="preserve">Cleaning services </w:t>
      </w:r>
    </w:p>
    <w:p w14:paraId="31CA265B" w14:textId="56066EF8" w:rsidR="00C77809" w:rsidRPr="000747D0" w:rsidRDefault="00C77809" w:rsidP="00C77809">
      <w:pPr>
        <w:pStyle w:val="ListBullet"/>
        <w:rPr>
          <w:lang w:val="en-AU"/>
        </w:rPr>
      </w:pPr>
      <w:r w:rsidRPr="000747D0">
        <w:rPr>
          <w:lang w:val="en-AU"/>
        </w:rPr>
        <w:t xml:space="preserve">Staging / equipment / lighting hire </w:t>
      </w:r>
    </w:p>
    <w:p w14:paraId="332E3B04" w14:textId="46F301C5" w:rsidR="00C77809" w:rsidRPr="000747D0" w:rsidRDefault="00C77809" w:rsidP="00C77809">
      <w:pPr>
        <w:pStyle w:val="ListBullet"/>
        <w:rPr>
          <w:lang w:val="en-AU"/>
        </w:rPr>
      </w:pPr>
      <w:r w:rsidRPr="000747D0">
        <w:rPr>
          <w:lang w:val="en-AU"/>
        </w:rPr>
        <w:t xml:space="preserve">Fuel usage by construction contractors </w:t>
      </w:r>
    </w:p>
    <w:p w14:paraId="0F9AC6A6" w14:textId="1ECD7756" w:rsidR="00C77809" w:rsidRPr="000747D0" w:rsidRDefault="00C77809" w:rsidP="00C77809">
      <w:pPr>
        <w:pStyle w:val="ListBullet"/>
        <w:rPr>
          <w:lang w:val="en-AU"/>
        </w:rPr>
      </w:pPr>
      <w:r w:rsidRPr="000747D0">
        <w:rPr>
          <w:lang w:val="en-AU"/>
        </w:rPr>
        <w:t xml:space="preserve">Telecommunication services </w:t>
      </w:r>
    </w:p>
    <w:p w14:paraId="3FC378A4" w14:textId="6A1BC38C" w:rsidR="00C77809" w:rsidRPr="000747D0" w:rsidRDefault="00C77809" w:rsidP="00C77809">
      <w:pPr>
        <w:pStyle w:val="ListBullet"/>
        <w:rPr>
          <w:lang w:val="en-AU"/>
        </w:rPr>
      </w:pPr>
      <w:r w:rsidRPr="000747D0">
        <w:rPr>
          <w:lang w:val="en-AU"/>
        </w:rPr>
        <w:t xml:space="preserve">IT services </w:t>
      </w:r>
    </w:p>
    <w:p w14:paraId="6F926DDF" w14:textId="0A5E9569" w:rsidR="00C77809" w:rsidRDefault="005238B0" w:rsidP="005238B0">
      <w:pPr>
        <w:pStyle w:val="Heading2"/>
        <w:rPr>
          <w:lang w:val="en-AU"/>
        </w:rPr>
      </w:pPr>
      <w:bookmarkStart w:id="18" w:name="_Toc14679649"/>
      <w:r>
        <w:rPr>
          <w:lang w:val="en-AU"/>
        </w:rPr>
        <w:t>Emissions reduction measures</w:t>
      </w:r>
      <w:bookmarkEnd w:id="18"/>
    </w:p>
    <w:p w14:paraId="699699D6" w14:textId="556C1B41" w:rsidR="005238B0" w:rsidRDefault="005238B0" w:rsidP="005238B0">
      <w:pPr>
        <w:pStyle w:val="Heading3"/>
        <w:rPr>
          <w:lang w:val="en-AU"/>
        </w:rPr>
      </w:pPr>
      <w:bookmarkStart w:id="19" w:name="_Toc14679650"/>
      <w:r>
        <w:rPr>
          <w:lang w:val="en-AU"/>
        </w:rPr>
        <w:t>2A.</w:t>
      </w:r>
      <w:r>
        <w:rPr>
          <w:lang w:val="en-AU"/>
        </w:rPr>
        <w:tab/>
        <w:t>Emissions over time</w:t>
      </w:r>
      <w:bookmarkEnd w:id="19"/>
    </w:p>
    <w:p w14:paraId="2F5E7570" w14:textId="1350C9F0" w:rsidR="005238B0" w:rsidRDefault="005238B0" w:rsidP="005238B0">
      <w:pPr>
        <w:pStyle w:val="Heading4"/>
      </w:pPr>
      <w:r w:rsidRPr="001244B0">
        <w:rPr>
          <w:b/>
          <w:lang w:val="en-AU"/>
        </w:rPr>
        <w:t>Table</w:t>
      </w:r>
      <w:r>
        <w:rPr>
          <w:b/>
        </w:rPr>
        <w:t xml:space="preserve"> 2 – </w:t>
      </w:r>
      <w:r w:rsidRPr="001244B0">
        <w:t>Emissions over time</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8"/>
        <w:gridCol w:w="3475"/>
        <w:gridCol w:w="3534"/>
      </w:tblGrid>
      <w:tr w:rsidR="005238B0" w:rsidRPr="00E32F0B" w14:paraId="204F4A41" w14:textId="77777777" w:rsidTr="005238B0">
        <w:trPr>
          <w:cantSplit/>
          <w:trHeight w:hRule="exact" w:val="403"/>
          <w:tblHeader/>
        </w:trPr>
        <w:tc>
          <w:tcPr>
            <w:tcW w:w="1638" w:type="dxa"/>
            <w:shd w:val="clear" w:color="auto" w:fill="auto"/>
          </w:tcPr>
          <w:p w14:paraId="2A10FE2D" w14:textId="77777777" w:rsidR="005238B0" w:rsidRPr="005238B0" w:rsidRDefault="005238B0" w:rsidP="005238B0">
            <w:pPr>
              <w:rPr>
                <w:b/>
                <w:bCs/>
              </w:rPr>
            </w:pPr>
            <w:bookmarkStart w:id="20" w:name="ColumnTitle_Emissions_Over_Time"/>
          </w:p>
        </w:tc>
        <w:tc>
          <w:tcPr>
            <w:tcW w:w="3475" w:type="dxa"/>
            <w:shd w:val="clear" w:color="auto" w:fill="auto"/>
          </w:tcPr>
          <w:p w14:paraId="68F3C2FC" w14:textId="77777777" w:rsidR="005238B0" w:rsidRPr="005238B0" w:rsidRDefault="005238B0" w:rsidP="005238B0">
            <w:pPr>
              <w:rPr>
                <w:b/>
                <w:bCs/>
              </w:rPr>
            </w:pPr>
            <w:r w:rsidRPr="005238B0">
              <w:rPr>
                <w:b/>
                <w:bCs/>
              </w:rPr>
              <w:t>Pre-event carbon account (t CO</w:t>
            </w:r>
            <w:r w:rsidRPr="005238B0">
              <w:rPr>
                <w:b/>
                <w:bCs/>
                <w:vertAlign w:val="subscript"/>
              </w:rPr>
              <w:t>2</w:t>
            </w:r>
            <w:r w:rsidRPr="005238B0">
              <w:rPr>
                <w:b/>
                <w:bCs/>
              </w:rPr>
              <w:t>-e)</w:t>
            </w:r>
          </w:p>
        </w:tc>
        <w:tc>
          <w:tcPr>
            <w:tcW w:w="3534" w:type="dxa"/>
            <w:shd w:val="clear" w:color="auto" w:fill="auto"/>
          </w:tcPr>
          <w:p w14:paraId="6A8C380D" w14:textId="77777777" w:rsidR="005238B0" w:rsidRPr="005238B0" w:rsidRDefault="005238B0" w:rsidP="005238B0">
            <w:pPr>
              <w:rPr>
                <w:b/>
                <w:bCs/>
              </w:rPr>
            </w:pPr>
            <w:r w:rsidRPr="005238B0">
              <w:rPr>
                <w:b/>
                <w:bCs/>
              </w:rPr>
              <w:t>Post-event carbon account (t CO</w:t>
            </w:r>
            <w:r w:rsidRPr="005238B0">
              <w:rPr>
                <w:b/>
                <w:bCs/>
                <w:vertAlign w:val="subscript"/>
              </w:rPr>
              <w:t>2</w:t>
            </w:r>
            <w:r w:rsidRPr="005238B0">
              <w:rPr>
                <w:b/>
                <w:bCs/>
              </w:rPr>
              <w:t>-e)</w:t>
            </w:r>
          </w:p>
        </w:tc>
      </w:tr>
      <w:tr w:rsidR="005238B0" w:rsidRPr="001244B0" w14:paraId="38AE42DE" w14:textId="77777777" w:rsidTr="005238B0">
        <w:trPr>
          <w:cantSplit/>
          <w:trHeight w:hRule="exact" w:val="423"/>
          <w:tblHeader/>
        </w:trPr>
        <w:tc>
          <w:tcPr>
            <w:tcW w:w="1638" w:type="dxa"/>
            <w:vAlign w:val="center"/>
          </w:tcPr>
          <w:p w14:paraId="1CE058F0" w14:textId="77777777" w:rsidR="005238B0" w:rsidRPr="001244B0" w:rsidRDefault="005238B0" w:rsidP="005238B0">
            <w:pPr>
              <w:spacing w:after="0"/>
            </w:pPr>
            <w:r w:rsidRPr="001244B0">
              <w:t>Scope 1</w:t>
            </w:r>
          </w:p>
        </w:tc>
        <w:tc>
          <w:tcPr>
            <w:tcW w:w="3475" w:type="dxa"/>
            <w:vAlign w:val="center"/>
          </w:tcPr>
          <w:p w14:paraId="65C0A0F0" w14:textId="77777777" w:rsidR="005238B0" w:rsidRPr="001244B0" w:rsidRDefault="005238B0" w:rsidP="005238B0">
            <w:pPr>
              <w:spacing w:after="0"/>
            </w:pPr>
            <w:r>
              <w:t>9.8</w:t>
            </w:r>
          </w:p>
        </w:tc>
        <w:tc>
          <w:tcPr>
            <w:tcW w:w="3534" w:type="dxa"/>
            <w:vAlign w:val="center"/>
          </w:tcPr>
          <w:p w14:paraId="29EB0868" w14:textId="77777777" w:rsidR="005238B0" w:rsidRPr="001244B0" w:rsidRDefault="005238B0" w:rsidP="005238B0">
            <w:pPr>
              <w:spacing w:after="0"/>
            </w:pPr>
            <w:r>
              <w:t>10.3</w:t>
            </w:r>
          </w:p>
        </w:tc>
      </w:tr>
      <w:tr w:rsidR="005238B0" w:rsidRPr="001244B0" w14:paraId="0B41C74C" w14:textId="77777777" w:rsidTr="005238B0">
        <w:trPr>
          <w:cantSplit/>
          <w:trHeight w:hRule="exact" w:val="414"/>
          <w:tblHeader/>
        </w:trPr>
        <w:tc>
          <w:tcPr>
            <w:tcW w:w="1638" w:type="dxa"/>
            <w:vAlign w:val="center"/>
          </w:tcPr>
          <w:p w14:paraId="10480443" w14:textId="77777777" w:rsidR="005238B0" w:rsidRPr="001244B0" w:rsidRDefault="005238B0" w:rsidP="005238B0">
            <w:pPr>
              <w:spacing w:after="0"/>
            </w:pPr>
            <w:r w:rsidRPr="001244B0">
              <w:t>Scope 2</w:t>
            </w:r>
          </w:p>
        </w:tc>
        <w:tc>
          <w:tcPr>
            <w:tcW w:w="3475" w:type="dxa"/>
            <w:vAlign w:val="center"/>
          </w:tcPr>
          <w:p w14:paraId="35D82800" w14:textId="77777777" w:rsidR="005238B0" w:rsidRPr="001244B0" w:rsidRDefault="005238B0" w:rsidP="005238B0">
            <w:pPr>
              <w:spacing w:after="0"/>
            </w:pPr>
            <w:r>
              <w:t>19.7</w:t>
            </w:r>
          </w:p>
        </w:tc>
        <w:tc>
          <w:tcPr>
            <w:tcW w:w="3534" w:type="dxa"/>
            <w:vAlign w:val="center"/>
          </w:tcPr>
          <w:p w14:paraId="4083618A" w14:textId="77777777" w:rsidR="005238B0" w:rsidRPr="001244B0" w:rsidRDefault="005238B0" w:rsidP="005238B0">
            <w:pPr>
              <w:spacing w:after="0"/>
            </w:pPr>
            <w:r>
              <w:t>23.6</w:t>
            </w:r>
          </w:p>
        </w:tc>
      </w:tr>
      <w:tr w:rsidR="005238B0" w:rsidRPr="001244B0" w14:paraId="0860616D" w14:textId="77777777" w:rsidTr="005238B0">
        <w:trPr>
          <w:cantSplit/>
          <w:trHeight w:hRule="exact" w:val="435"/>
          <w:tblHeader/>
        </w:trPr>
        <w:tc>
          <w:tcPr>
            <w:tcW w:w="1638" w:type="dxa"/>
            <w:vAlign w:val="center"/>
          </w:tcPr>
          <w:p w14:paraId="7587721E" w14:textId="77777777" w:rsidR="005238B0" w:rsidRPr="001244B0" w:rsidRDefault="005238B0" w:rsidP="005238B0">
            <w:pPr>
              <w:spacing w:after="0"/>
            </w:pPr>
            <w:r w:rsidRPr="001244B0">
              <w:t>Scope 3</w:t>
            </w:r>
          </w:p>
        </w:tc>
        <w:tc>
          <w:tcPr>
            <w:tcW w:w="3475" w:type="dxa"/>
            <w:vAlign w:val="center"/>
          </w:tcPr>
          <w:p w14:paraId="6831DBFC" w14:textId="77777777" w:rsidR="005238B0" w:rsidRPr="001244B0" w:rsidRDefault="005238B0" w:rsidP="005238B0">
            <w:pPr>
              <w:spacing w:after="0"/>
            </w:pPr>
            <w:r>
              <w:t>963.9</w:t>
            </w:r>
          </w:p>
        </w:tc>
        <w:tc>
          <w:tcPr>
            <w:tcW w:w="3534" w:type="dxa"/>
            <w:vAlign w:val="center"/>
          </w:tcPr>
          <w:p w14:paraId="5BD152BF" w14:textId="77777777" w:rsidR="005238B0" w:rsidRPr="001244B0" w:rsidRDefault="005238B0" w:rsidP="005238B0">
            <w:pPr>
              <w:spacing w:after="0"/>
            </w:pPr>
            <w:r>
              <w:t>738.4</w:t>
            </w:r>
          </w:p>
        </w:tc>
      </w:tr>
      <w:tr w:rsidR="005238B0" w:rsidRPr="001244B0" w14:paraId="156A90C2" w14:textId="77777777" w:rsidTr="005238B0">
        <w:trPr>
          <w:cantSplit/>
          <w:trHeight w:hRule="exact" w:val="427"/>
          <w:tblHeader/>
        </w:trPr>
        <w:tc>
          <w:tcPr>
            <w:tcW w:w="1638" w:type="dxa"/>
            <w:vAlign w:val="center"/>
          </w:tcPr>
          <w:p w14:paraId="7486459F" w14:textId="77777777" w:rsidR="005238B0" w:rsidRPr="001244B0" w:rsidRDefault="005238B0" w:rsidP="005238B0">
            <w:pPr>
              <w:spacing w:after="0"/>
            </w:pPr>
            <w:r w:rsidRPr="001244B0">
              <w:t>Total</w:t>
            </w:r>
          </w:p>
        </w:tc>
        <w:tc>
          <w:tcPr>
            <w:tcW w:w="3475" w:type="dxa"/>
            <w:vAlign w:val="center"/>
          </w:tcPr>
          <w:p w14:paraId="5E29D959" w14:textId="77777777" w:rsidR="005238B0" w:rsidRPr="001244B0" w:rsidRDefault="005238B0" w:rsidP="005238B0">
            <w:pPr>
              <w:spacing w:after="0"/>
            </w:pPr>
            <w:r>
              <w:t>993.4</w:t>
            </w:r>
          </w:p>
        </w:tc>
        <w:tc>
          <w:tcPr>
            <w:tcW w:w="3534" w:type="dxa"/>
            <w:vAlign w:val="center"/>
          </w:tcPr>
          <w:p w14:paraId="06841D74" w14:textId="77777777" w:rsidR="005238B0" w:rsidRPr="001244B0" w:rsidRDefault="005238B0" w:rsidP="005238B0">
            <w:pPr>
              <w:spacing w:after="0"/>
            </w:pPr>
            <w:r>
              <w:t>772.3</w:t>
            </w:r>
          </w:p>
        </w:tc>
      </w:tr>
    </w:tbl>
    <w:p w14:paraId="5A4D9B92" w14:textId="3A3CCD9F" w:rsidR="005238B0" w:rsidRDefault="005238B0" w:rsidP="005238B0">
      <w:pPr>
        <w:pStyle w:val="Heading3"/>
      </w:pPr>
      <w:bookmarkStart w:id="21" w:name="_Toc14679651"/>
      <w:bookmarkEnd w:id="20"/>
      <w:r>
        <w:t>2B.</w:t>
      </w:r>
      <w:r>
        <w:tab/>
        <w:t>Emissions reduction strategy</w:t>
      </w:r>
      <w:bookmarkEnd w:id="21"/>
    </w:p>
    <w:p w14:paraId="5EB27E2E" w14:textId="6F483099" w:rsidR="005238B0" w:rsidRDefault="005238B0" w:rsidP="005238B0">
      <w:r w:rsidRPr="00316357">
        <w:t xml:space="preserve">The City of Melbourne event production teams, with assistance from the Urban </w:t>
      </w:r>
      <w:r w:rsidR="00073CD5" w:rsidRPr="00316357">
        <w:t>Sustainability</w:t>
      </w:r>
      <w:r w:rsidRPr="00316357">
        <w:t xml:space="preserve"> team</w:t>
      </w:r>
      <w:r>
        <w:t>,</w:t>
      </w:r>
      <w:r w:rsidRPr="00316357">
        <w:t xml:space="preserve"> identified emissions reduction </w:t>
      </w:r>
      <w:r w:rsidR="00073CD5" w:rsidRPr="00316357">
        <w:t>activates</w:t>
      </w:r>
      <w:r w:rsidRPr="00316357">
        <w:t xml:space="preserve"> they felt they could influence in this, the first year of the Large Event Portfolio approach.</w:t>
      </w:r>
    </w:p>
    <w:p w14:paraId="009F975C" w14:textId="057E6670" w:rsidR="005238B0" w:rsidRDefault="005238B0" w:rsidP="005238B0">
      <w:r>
        <w:lastRenderedPageBreak/>
        <w:t>The teams worked together through the event planning process to ensure that emissions reduction was a lens by which key decision makers were viewing event operations.</w:t>
      </w:r>
    </w:p>
    <w:p w14:paraId="5D2C8B23" w14:textId="2E40AD95" w:rsidR="005238B0" w:rsidRDefault="005238B0" w:rsidP="005238B0">
      <w:pPr>
        <w:pStyle w:val="Heading3"/>
      </w:pPr>
      <w:bookmarkStart w:id="22" w:name="_Toc14679652"/>
      <w:r>
        <w:t>2C.</w:t>
      </w:r>
      <w:r>
        <w:tab/>
        <w:t>Emissions reduction activities</w:t>
      </w:r>
      <w:bookmarkEnd w:id="22"/>
    </w:p>
    <w:p w14:paraId="024FE64E" w14:textId="05D1B540" w:rsidR="005238B0" w:rsidRDefault="005238B0" w:rsidP="005238B0">
      <w:pPr>
        <w:pStyle w:val="Heading4"/>
      </w:pPr>
      <w:r>
        <w:t>Table 3 – Emissions Reduction Activities</w:t>
      </w:r>
    </w:p>
    <w:tbl>
      <w:tblPr>
        <w:tblW w:w="87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6"/>
        <w:gridCol w:w="4348"/>
        <w:gridCol w:w="1001"/>
        <w:gridCol w:w="1775"/>
      </w:tblGrid>
      <w:tr w:rsidR="005238B0" w:rsidRPr="00316357" w14:paraId="7484952C" w14:textId="77777777" w:rsidTr="005238B0">
        <w:trPr>
          <w:cantSplit/>
          <w:trHeight w:hRule="exact" w:val="642"/>
          <w:tblHeader/>
        </w:trPr>
        <w:tc>
          <w:tcPr>
            <w:tcW w:w="1666" w:type="dxa"/>
            <w:shd w:val="clear" w:color="auto" w:fill="auto"/>
            <w:vAlign w:val="center"/>
          </w:tcPr>
          <w:p w14:paraId="4C0B5660" w14:textId="77777777" w:rsidR="005238B0" w:rsidRPr="005238B0" w:rsidRDefault="005238B0" w:rsidP="005238B0">
            <w:pPr>
              <w:rPr>
                <w:rFonts w:eastAsia="Calibri" w:cs="Calibri"/>
                <w:b/>
                <w:bCs/>
              </w:rPr>
            </w:pPr>
            <w:bookmarkStart w:id="23" w:name="ColumnTitle_Emissions_Reduction_Activity"/>
            <w:r w:rsidRPr="005238B0">
              <w:rPr>
                <w:b/>
                <w:bCs/>
              </w:rPr>
              <w:t>Emission source</w:t>
            </w:r>
          </w:p>
        </w:tc>
        <w:tc>
          <w:tcPr>
            <w:tcW w:w="4348" w:type="dxa"/>
            <w:shd w:val="clear" w:color="auto" w:fill="auto"/>
            <w:vAlign w:val="center"/>
          </w:tcPr>
          <w:p w14:paraId="69FD8AF9" w14:textId="77777777" w:rsidR="005238B0" w:rsidRPr="005238B0" w:rsidRDefault="005238B0" w:rsidP="005238B0">
            <w:pPr>
              <w:rPr>
                <w:rFonts w:eastAsia="Calibri" w:cs="Calibri"/>
                <w:b/>
                <w:bCs/>
              </w:rPr>
            </w:pPr>
            <w:r w:rsidRPr="005238B0">
              <w:rPr>
                <w:b/>
                <w:bCs/>
              </w:rPr>
              <w:t xml:space="preserve">Reduction measure </w:t>
            </w:r>
          </w:p>
        </w:tc>
        <w:tc>
          <w:tcPr>
            <w:tcW w:w="1001" w:type="dxa"/>
            <w:shd w:val="clear" w:color="auto" w:fill="auto"/>
            <w:vAlign w:val="center"/>
          </w:tcPr>
          <w:p w14:paraId="3EC95417" w14:textId="77777777" w:rsidR="005238B0" w:rsidRPr="005238B0" w:rsidRDefault="005238B0" w:rsidP="005238B0">
            <w:pPr>
              <w:rPr>
                <w:rFonts w:eastAsia="Calibri" w:cs="Calibri"/>
                <w:b/>
                <w:bCs/>
              </w:rPr>
            </w:pPr>
            <w:r w:rsidRPr="005238B0">
              <w:rPr>
                <w:b/>
                <w:bCs/>
              </w:rPr>
              <w:t>Scope</w:t>
            </w:r>
          </w:p>
        </w:tc>
        <w:tc>
          <w:tcPr>
            <w:tcW w:w="1775" w:type="dxa"/>
            <w:shd w:val="clear" w:color="auto" w:fill="auto"/>
            <w:vAlign w:val="center"/>
          </w:tcPr>
          <w:p w14:paraId="4CABC3D5" w14:textId="77777777" w:rsidR="005238B0" w:rsidRPr="005238B0" w:rsidRDefault="005238B0" w:rsidP="005238B0">
            <w:pPr>
              <w:rPr>
                <w:rFonts w:eastAsia="Calibri" w:cs="Calibri"/>
                <w:b/>
                <w:bCs/>
              </w:rPr>
            </w:pPr>
            <w:r w:rsidRPr="005238B0">
              <w:rPr>
                <w:b/>
                <w:bCs/>
              </w:rPr>
              <w:t>Status</w:t>
            </w:r>
          </w:p>
        </w:tc>
      </w:tr>
      <w:tr w:rsidR="005238B0" w:rsidRPr="00316357" w14:paraId="6F5D23A4" w14:textId="77777777" w:rsidTr="005238B0">
        <w:trPr>
          <w:cantSplit/>
          <w:tblHeader/>
        </w:trPr>
        <w:tc>
          <w:tcPr>
            <w:tcW w:w="1666" w:type="dxa"/>
            <w:vAlign w:val="center"/>
          </w:tcPr>
          <w:p w14:paraId="1D5BAE2D" w14:textId="77777777" w:rsidR="005238B0" w:rsidRPr="00316357" w:rsidRDefault="005238B0" w:rsidP="005238B0">
            <w:r w:rsidRPr="00316357">
              <w:t>Generators - Bio diesel</w:t>
            </w:r>
          </w:p>
        </w:tc>
        <w:tc>
          <w:tcPr>
            <w:tcW w:w="4348" w:type="dxa"/>
            <w:vAlign w:val="center"/>
          </w:tcPr>
          <w:p w14:paraId="6135AB1E" w14:textId="77777777" w:rsidR="005238B0" w:rsidRPr="00316357" w:rsidRDefault="005238B0" w:rsidP="005238B0">
            <w:r w:rsidRPr="00316357">
              <w:t>In planning for street runways for Melbourne Fashion Week, locations with access to mains electricity were prioritized to limit the number of generators used for power</w:t>
            </w:r>
          </w:p>
        </w:tc>
        <w:tc>
          <w:tcPr>
            <w:tcW w:w="1001" w:type="dxa"/>
            <w:vAlign w:val="center"/>
          </w:tcPr>
          <w:p w14:paraId="62F295A2" w14:textId="77777777" w:rsidR="005238B0" w:rsidRPr="00316357" w:rsidRDefault="005238B0" w:rsidP="005238B0">
            <w:r w:rsidRPr="00316357">
              <w:t>1</w:t>
            </w:r>
          </w:p>
        </w:tc>
        <w:tc>
          <w:tcPr>
            <w:tcW w:w="1775" w:type="dxa"/>
            <w:vAlign w:val="center"/>
          </w:tcPr>
          <w:p w14:paraId="0F634BBC" w14:textId="77777777" w:rsidR="005238B0" w:rsidRPr="00316357" w:rsidRDefault="005238B0" w:rsidP="005238B0">
            <w:r w:rsidRPr="00316357">
              <w:t>Achieved</w:t>
            </w:r>
          </w:p>
        </w:tc>
      </w:tr>
      <w:tr w:rsidR="005238B0" w:rsidRPr="00316357" w14:paraId="6F02276E" w14:textId="77777777" w:rsidTr="005238B0">
        <w:trPr>
          <w:cantSplit/>
          <w:tblHeader/>
        </w:trPr>
        <w:tc>
          <w:tcPr>
            <w:tcW w:w="1666" w:type="dxa"/>
            <w:vAlign w:val="center"/>
          </w:tcPr>
          <w:p w14:paraId="632D3B32" w14:textId="77777777" w:rsidR="005238B0" w:rsidRPr="00316357" w:rsidRDefault="005238B0" w:rsidP="005238B0">
            <w:r w:rsidRPr="00316357">
              <w:t>Landfill Waste</w:t>
            </w:r>
          </w:p>
        </w:tc>
        <w:tc>
          <w:tcPr>
            <w:tcW w:w="4348" w:type="dxa"/>
            <w:vAlign w:val="center"/>
          </w:tcPr>
          <w:p w14:paraId="5944C74D" w14:textId="77777777" w:rsidR="005238B0" w:rsidRPr="00316357" w:rsidRDefault="005238B0" w:rsidP="005238B0">
            <w:r w:rsidRPr="00316357">
              <w:t xml:space="preserve">Key staff were briefed on and drove  improved recycling and identifying and reducing unnecessary single use plastic items   </w:t>
            </w:r>
          </w:p>
        </w:tc>
        <w:tc>
          <w:tcPr>
            <w:tcW w:w="1001" w:type="dxa"/>
            <w:vAlign w:val="center"/>
          </w:tcPr>
          <w:p w14:paraId="3E9EC285" w14:textId="77777777" w:rsidR="005238B0" w:rsidRPr="00316357" w:rsidRDefault="005238B0" w:rsidP="005238B0">
            <w:r w:rsidRPr="00316357">
              <w:t>3</w:t>
            </w:r>
          </w:p>
        </w:tc>
        <w:tc>
          <w:tcPr>
            <w:tcW w:w="1775" w:type="dxa"/>
            <w:vAlign w:val="center"/>
          </w:tcPr>
          <w:p w14:paraId="6B993138" w14:textId="77777777" w:rsidR="005238B0" w:rsidRPr="00316357" w:rsidRDefault="005238B0" w:rsidP="005238B0">
            <w:r w:rsidRPr="00316357">
              <w:t>Achieved/ongoing</w:t>
            </w:r>
          </w:p>
        </w:tc>
      </w:tr>
      <w:tr w:rsidR="005238B0" w:rsidRPr="00316357" w14:paraId="4D4DAB72" w14:textId="77777777" w:rsidTr="005238B0">
        <w:trPr>
          <w:cantSplit/>
          <w:tblHeader/>
        </w:trPr>
        <w:tc>
          <w:tcPr>
            <w:tcW w:w="1666" w:type="dxa"/>
            <w:vAlign w:val="center"/>
          </w:tcPr>
          <w:p w14:paraId="40AF8AFE" w14:textId="77777777" w:rsidR="005238B0" w:rsidRPr="00316357" w:rsidRDefault="005238B0" w:rsidP="005238B0">
            <w:r w:rsidRPr="00316357">
              <w:t>Car/Taxi/Uber</w:t>
            </w:r>
          </w:p>
        </w:tc>
        <w:tc>
          <w:tcPr>
            <w:tcW w:w="4348" w:type="dxa"/>
            <w:vAlign w:val="center"/>
          </w:tcPr>
          <w:p w14:paraId="2973F8A2" w14:textId="77777777" w:rsidR="005238B0" w:rsidRPr="00316357" w:rsidRDefault="005238B0" w:rsidP="005238B0">
            <w:r w:rsidRPr="00316357">
              <w:t xml:space="preserve">On the websites for Melbourne Fashion Week and Melbourne Music Week and in key communications, attendees were encouraged to use public transport, walk or ride instead of driving to reduce their environmental impact </w:t>
            </w:r>
          </w:p>
        </w:tc>
        <w:tc>
          <w:tcPr>
            <w:tcW w:w="1001" w:type="dxa"/>
            <w:vAlign w:val="center"/>
          </w:tcPr>
          <w:p w14:paraId="611627D4" w14:textId="77777777" w:rsidR="005238B0" w:rsidRPr="00316357" w:rsidRDefault="005238B0" w:rsidP="005238B0">
            <w:r w:rsidRPr="00316357">
              <w:t>3</w:t>
            </w:r>
          </w:p>
        </w:tc>
        <w:tc>
          <w:tcPr>
            <w:tcW w:w="1775" w:type="dxa"/>
            <w:vAlign w:val="center"/>
          </w:tcPr>
          <w:p w14:paraId="2A02ED13" w14:textId="77777777" w:rsidR="005238B0" w:rsidRPr="00316357" w:rsidRDefault="005238B0" w:rsidP="005238B0">
            <w:r w:rsidRPr="00316357">
              <w:t>Achieved/ongoing</w:t>
            </w:r>
          </w:p>
        </w:tc>
      </w:tr>
      <w:tr w:rsidR="005238B0" w:rsidRPr="00316357" w14:paraId="64FA773A" w14:textId="77777777" w:rsidTr="005238B0">
        <w:trPr>
          <w:cantSplit/>
          <w:tblHeader/>
        </w:trPr>
        <w:tc>
          <w:tcPr>
            <w:tcW w:w="1666" w:type="dxa"/>
            <w:vAlign w:val="center"/>
          </w:tcPr>
          <w:p w14:paraId="37B72170" w14:textId="77777777" w:rsidR="005238B0" w:rsidRPr="00316357" w:rsidRDefault="005238B0" w:rsidP="005238B0">
            <w:r w:rsidRPr="00316357">
              <w:t>Landfill Waste</w:t>
            </w:r>
          </w:p>
        </w:tc>
        <w:tc>
          <w:tcPr>
            <w:tcW w:w="4348" w:type="dxa"/>
            <w:vAlign w:val="center"/>
          </w:tcPr>
          <w:p w14:paraId="078A842E" w14:textId="77777777" w:rsidR="005238B0" w:rsidRPr="00316357" w:rsidRDefault="005238B0" w:rsidP="005238B0">
            <w:r w:rsidRPr="00316357">
              <w:t xml:space="preserve">Reusable cups were used for the first time at Melbourne Music Week Hub bars to reduce waste to landfill </w:t>
            </w:r>
          </w:p>
        </w:tc>
        <w:tc>
          <w:tcPr>
            <w:tcW w:w="1001" w:type="dxa"/>
            <w:vAlign w:val="center"/>
          </w:tcPr>
          <w:p w14:paraId="67FD9EEB" w14:textId="77777777" w:rsidR="005238B0" w:rsidRPr="00316357" w:rsidRDefault="005238B0" w:rsidP="005238B0">
            <w:r w:rsidRPr="00316357">
              <w:t>3</w:t>
            </w:r>
          </w:p>
        </w:tc>
        <w:tc>
          <w:tcPr>
            <w:tcW w:w="1775" w:type="dxa"/>
            <w:vAlign w:val="center"/>
          </w:tcPr>
          <w:p w14:paraId="07C67EC8" w14:textId="77777777" w:rsidR="005238B0" w:rsidRPr="00316357" w:rsidRDefault="005238B0" w:rsidP="005238B0">
            <w:r w:rsidRPr="00316357">
              <w:t>Achieved</w:t>
            </w:r>
          </w:p>
        </w:tc>
      </w:tr>
      <w:tr w:rsidR="005238B0" w:rsidRPr="00316357" w14:paraId="2394C604" w14:textId="77777777" w:rsidTr="005238B0">
        <w:trPr>
          <w:cantSplit/>
          <w:tblHeader/>
        </w:trPr>
        <w:tc>
          <w:tcPr>
            <w:tcW w:w="1666" w:type="dxa"/>
            <w:vAlign w:val="center"/>
          </w:tcPr>
          <w:p w14:paraId="77BCCB3A" w14:textId="77777777" w:rsidR="005238B0" w:rsidRPr="00316357" w:rsidRDefault="005238B0" w:rsidP="005238B0">
            <w:r w:rsidRPr="00316357">
              <w:t>Construction materials</w:t>
            </w:r>
          </w:p>
        </w:tc>
        <w:tc>
          <w:tcPr>
            <w:tcW w:w="4348" w:type="dxa"/>
            <w:vAlign w:val="center"/>
          </w:tcPr>
          <w:p w14:paraId="20CD6423" w14:textId="77777777" w:rsidR="005238B0" w:rsidRPr="00316357" w:rsidRDefault="005238B0" w:rsidP="005238B0">
            <w:r w:rsidRPr="00316357">
              <w:t>Melbourne Fashion Week producers maximized the re-use of existing staging material to minimize the need for new constructions</w:t>
            </w:r>
          </w:p>
        </w:tc>
        <w:tc>
          <w:tcPr>
            <w:tcW w:w="1001" w:type="dxa"/>
            <w:vAlign w:val="center"/>
          </w:tcPr>
          <w:p w14:paraId="02875422" w14:textId="77777777" w:rsidR="005238B0" w:rsidRPr="00316357" w:rsidRDefault="005238B0" w:rsidP="005238B0">
            <w:r w:rsidRPr="00316357">
              <w:t>3</w:t>
            </w:r>
          </w:p>
        </w:tc>
        <w:tc>
          <w:tcPr>
            <w:tcW w:w="1775" w:type="dxa"/>
            <w:vAlign w:val="center"/>
          </w:tcPr>
          <w:p w14:paraId="1CB33F6C" w14:textId="77777777" w:rsidR="005238B0" w:rsidRPr="00316357" w:rsidRDefault="005238B0" w:rsidP="005238B0">
            <w:r w:rsidRPr="00316357">
              <w:t>Achieved</w:t>
            </w:r>
          </w:p>
        </w:tc>
      </w:tr>
    </w:tbl>
    <w:p w14:paraId="5923146B" w14:textId="4EFA1B49" w:rsidR="005238B0" w:rsidRDefault="005238B0" w:rsidP="005238B0">
      <w:pPr>
        <w:pStyle w:val="Heading2"/>
      </w:pPr>
      <w:bookmarkStart w:id="24" w:name="_Toc14679653"/>
      <w:bookmarkEnd w:id="23"/>
      <w:r>
        <w:t>Emissions summary</w:t>
      </w:r>
      <w:bookmarkEnd w:id="24"/>
    </w:p>
    <w:p w14:paraId="6BF5AD10" w14:textId="42FD0284" w:rsidR="005238B0" w:rsidRDefault="005238B0" w:rsidP="005238B0">
      <w:pPr>
        <w:pStyle w:val="Heading3"/>
      </w:pPr>
      <w:bookmarkStart w:id="25" w:name="_Toc14679654"/>
      <w:r>
        <w:t>Table 2 – Emissions Summary – Melbourne Fashion Week 2018</w:t>
      </w:r>
      <w:bookmarkEnd w:id="25"/>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8"/>
        <w:gridCol w:w="5671"/>
        <w:gridCol w:w="1906"/>
      </w:tblGrid>
      <w:tr w:rsidR="005238B0" w:rsidRPr="00C507D1" w14:paraId="7DC941D5" w14:textId="77777777" w:rsidTr="005238B0">
        <w:trPr>
          <w:cantSplit/>
          <w:trHeight w:hRule="exact" w:val="359"/>
          <w:tblHeader/>
        </w:trPr>
        <w:tc>
          <w:tcPr>
            <w:tcW w:w="928" w:type="dxa"/>
            <w:shd w:val="clear" w:color="auto" w:fill="auto"/>
          </w:tcPr>
          <w:p w14:paraId="3CEC2DB9" w14:textId="77777777" w:rsidR="005238B0" w:rsidRPr="005238B0" w:rsidRDefault="005238B0" w:rsidP="005238B0">
            <w:pPr>
              <w:rPr>
                <w:rFonts w:eastAsia="Calibri" w:cs="Calibri"/>
                <w:b/>
                <w:bCs/>
              </w:rPr>
            </w:pPr>
            <w:bookmarkStart w:id="26" w:name="ColumnTitle_Summary_Fashion_Week_2018"/>
            <w:r w:rsidRPr="005238B0">
              <w:rPr>
                <w:b/>
                <w:bCs/>
              </w:rPr>
              <w:t>Scope</w:t>
            </w:r>
          </w:p>
        </w:tc>
        <w:tc>
          <w:tcPr>
            <w:tcW w:w="5671" w:type="dxa"/>
            <w:shd w:val="clear" w:color="auto" w:fill="auto"/>
          </w:tcPr>
          <w:p w14:paraId="4BA2DD49" w14:textId="77777777" w:rsidR="005238B0" w:rsidRPr="005238B0" w:rsidRDefault="005238B0" w:rsidP="005238B0">
            <w:pPr>
              <w:rPr>
                <w:rFonts w:eastAsia="Calibri" w:cs="Calibri"/>
                <w:b/>
                <w:bCs/>
              </w:rPr>
            </w:pPr>
            <w:r w:rsidRPr="005238B0">
              <w:rPr>
                <w:b/>
                <w:bCs/>
              </w:rPr>
              <w:t>Emission source</w:t>
            </w:r>
          </w:p>
        </w:tc>
        <w:tc>
          <w:tcPr>
            <w:tcW w:w="1906" w:type="dxa"/>
            <w:shd w:val="clear" w:color="auto" w:fill="auto"/>
          </w:tcPr>
          <w:p w14:paraId="42101382" w14:textId="77777777" w:rsidR="005238B0" w:rsidRPr="005238B0" w:rsidRDefault="005238B0" w:rsidP="005238B0">
            <w:pPr>
              <w:rPr>
                <w:rFonts w:eastAsia="Calibri" w:cs="Calibri"/>
                <w:b/>
                <w:bCs/>
              </w:rPr>
            </w:pPr>
            <w:r w:rsidRPr="005238B0">
              <w:rPr>
                <w:b/>
                <w:bCs/>
              </w:rPr>
              <w:t>t CO</w:t>
            </w:r>
            <w:r w:rsidRPr="005238B0">
              <w:rPr>
                <w:b/>
                <w:bCs/>
                <w:vertAlign w:val="subscript"/>
              </w:rPr>
              <w:t>2</w:t>
            </w:r>
            <w:r w:rsidRPr="005238B0">
              <w:rPr>
                <w:b/>
                <w:bCs/>
              </w:rPr>
              <w:t>-e</w:t>
            </w:r>
          </w:p>
        </w:tc>
      </w:tr>
      <w:tr w:rsidR="005238B0" w:rsidRPr="00C507D1" w14:paraId="58106107" w14:textId="77777777" w:rsidTr="005238B0">
        <w:trPr>
          <w:cantSplit/>
          <w:trHeight w:hRule="exact" w:val="293"/>
          <w:tblHeader/>
        </w:trPr>
        <w:tc>
          <w:tcPr>
            <w:tcW w:w="928" w:type="dxa"/>
            <w:shd w:val="clear" w:color="auto" w:fill="auto"/>
          </w:tcPr>
          <w:p w14:paraId="2CEF7FE4" w14:textId="77777777" w:rsidR="005238B0" w:rsidRPr="005238B0" w:rsidRDefault="005238B0" w:rsidP="005238B0">
            <w:pPr>
              <w:spacing w:after="0"/>
              <w:rPr>
                <w:rFonts w:eastAsia="Calibri" w:cs="Calibri"/>
              </w:rPr>
            </w:pPr>
            <w:r w:rsidRPr="005238B0">
              <w:t>1</w:t>
            </w:r>
          </w:p>
        </w:tc>
        <w:tc>
          <w:tcPr>
            <w:tcW w:w="5671" w:type="dxa"/>
            <w:shd w:val="clear" w:color="auto" w:fill="auto"/>
          </w:tcPr>
          <w:p w14:paraId="7B0A1CE0" w14:textId="77777777" w:rsidR="005238B0" w:rsidRPr="00C507D1" w:rsidRDefault="005238B0" w:rsidP="005238B0">
            <w:pPr>
              <w:spacing w:after="0"/>
            </w:pPr>
            <w:r w:rsidRPr="00C507D1">
              <w:t>Generators - Bio diesel</w:t>
            </w:r>
          </w:p>
        </w:tc>
        <w:tc>
          <w:tcPr>
            <w:tcW w:w="1906" w:type="dxa"/>
            <w:shd w:val="clear" w:color="auto" w:fill="auto"/>
          </w:tcPr>
          <w:p w14:paraId="4E02AF6A" w14:textId="77777777" w:rsidR="005238B0" w:rsidRPr="00C507D1" w:rsidRDefault="005238B0" w:rsidP="005238B0">
            <w:pPr>
              <w:spacing w:after="0"/>
            </w:pPr>
            <w:r w:rsidRPr="00C507D1">
              <w:t>3.85</w:t>
            </w:r>
          </w:p>
        </w:tc>
      </w:tr>
      <w:tr w:rsidR="005238B0" w:rsidRPr="00C507D1" w14:paraId="21787071" w14:textId="77777777" w:rsidTr="005238B0">
        <w:trPr>
          <w:cantSplit/>
          <w:trHeight w:hRule="exact" w:val="285"/>
          <w:tblHeader/>
        </w:trPr>
        <w:tc>
          <w:tcPr>
            <w:tcW w:w="928" w:type="dxa"/>
            <w:shd w:val="clear" w:color="auto" w:fill="auto"/>
          </w:tcPr>
          <w:p w14:paraId="07673C7D" w14:textId="77777777" w:rsidR="005238B0" w:rsidRPr="005238B0" w:rsidRDefault="005238B0" w:rsidP="005238B0">
            <w:pPr>
              <w:spacing w:after="0"/>
            </w:pPr>
            <w:r w:rsidRPr="005238B0">
              <w:t>2</w:t>
            </w:r>
          </w:p>
        </w:tc>
        <w:tc>
          <w:tcPr>
            <w:tcW w:w="5671" w:type="dxa"/>
            <w:shd w:val="clear" w:color="auto" w:fill="auto"/>
          </w:tcPr>
          <w:p w14:paraId="1E882CF4" w14:textId="77777777" w:rsidR="005238B0" w:rsidRPr="00C507D1" w:rsidRDefault="005238B0" w:rsidP="005238B0">
            <w:pPr>
              <w:spacing w:after="0"/>
            </w:pPr>
            <w:r>
              <w:t>Purchased Electricity (Carbon Neutral Melbourne Town Hall)</w:t>
            </w:r>
          </w:p>
        </w:tc>
        <w:tc>
          <w:tcPr>
            <w:tcW w:w="1906" w:type="dxa"/>
            <w:shd w:val="clear" w:color="auto" w:fill="auto"/>
          </w:tcPr>
          <w:p w14:paraId="69314030" w14:textId="77777777" w:rsidR="005238B0" w:rsidRPr="00C507D1" w:rsidRDefault="005238B0" w:rsidP="005238B0">
            <w:pPr>
              <w:spacing w:after="0"/>
            </w:pPr>
            <w:r>
              <w:t>0.00</w:t>
            </w:r>
          </w:p>
        </w:tc>
      </w:tr>
      <w:tr w:rsidR="005238B0" w:rsidRPr="00C507D1" w14:paraId="65D49BAF" w14:textId="77777777" w:rsidTr="005238B0">
        <w:trPr>
          <w:cantSplit/>
          <w:trHeight w:hRule="exact" w:val="264"/>
          <w:tblHeader/>
        </w:trPr>
        <w:tc>
          <w:tcPr>
            <w:tcW w:w="928" w:type="dxa"/>
            <w:shd w:val="clear" w:color="auto" w:fill="auto"/>
          </w:tcPr>
          <w:p w14:paraId="247E7452" w14:textId="77777777" w:rsidR="005238B0" w:rsidRPr="005238B0" w:rsidRDefault="005238B0" w:rsidP="005238B0">
            <w:pPr>
              <w:spacing w:after="0"/>
              <w:rPr>
                <w:rFonts w:eastAsia="Calibri" w:cs="Calibri"/>
              </w:rPr>
            </w:pPr>
            <w:r w:rsidRPr="005238B0">
              <w:t>2</w:t>
            </w:r>
          </w:p>
        </w:tc>
        <w:tc>
          <w:tcPr>
            <w:tcW w:w="5671" w:type="dxa"/>
            <w:shd w:val="clear" w:color="auto" w:fill="auto"/>
          </w:tcPr>
          <w:p w14:paraId="22413C64" w14:textId="77777777" w:rsidR="005238B0" w:rsidRPr="00C507D1" w:rsidRDefault="005238B0" w:rsidP="005238B0">
            <w:pPr>
              <w:spacing w:after="0"/>
            </w:pPr>
            <w:r w:rsidRPr="00C507D1">
              <w:t>Purchased Electricity</w:t>
            </w:r>
          </w:p>
        </w:tc>
        <w:tc>
          <w:tcPr>
            <w:tcW w:w="1906" w:type="dxa"/>
            <w:shd w:val="clear" w:color="auto" w:fill="auto"/>
          </w:tcPr>
          <w:p w14:paraId="3BB6908F" w14:textId="77777777" w:rsidR="005238B0" w:rsidRPr="00C507D1" w:rsidRDefault="005238B0" w:rsidP="005238B0">
            <w:pPr>
              <w:spacing w:after="0"/>
            </w:pPr>
            <w:r w:rsidRPr="00C507D1">
              <w:t>0.98</w:t>
            </w:r>
          </w:p>
        </w:tc>
      </w:tr>
      <w:tr w:rsidR="005238B0" w:rsidRPr="00C507D1" w14:paraId="72E23FCC" w14:textId="77777777" w:rsidTr="005238B0">
        <w:trPr>
          <w:cantSplit/>
          <w:trHeight w:hRule="exact" w:val="264"/>
          <w:tblHeader/>
        </w:trPr>
        <w:tc>
          <w:tcPr>
            <w:tcW w:w="928" w:type="dxa"/>
            <w:shd w:val="clear" w:color="auto" w:fill="auto"/>
          </w:tcPr>
          <w:p w14:paraId="28656B55"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55D35ECA" w14:textId="77777777" w:rsidR="005238B0" w:rsidRPr="00C507D1" w:rsidRDefault="005238B0" w:rsidP="005238B0">
            <w:pPr>
              <w:spacing w:after="0"/>
            </w:pPr>
            <w:r w:rsidRPr="00C507D1">
              <w:rPr>
                <w:rFonts w:cs="Arial"/>
                <w:color w:val="000000"/>
              </w:rPr>
              <w:t xml:space="preserve">Municipal Solid Waste </w:t>
            </w:r>
          </w:p>
        </w:tc>
        <w:tc>
          <w:tcPr>
            <w:tcW w:w="1906" w:type="dxa"/>
            <w:shd w:val="clear" w:color="auto" w:fill="auto"/>
            <w:vAlign w:val="bottom"/>
          </w:tcPr>
          <w:p w14:paraId="28E84D17" w14:textId="77777777" w:rsidR="005238B0" w:rsidRPr="00C507D1" w:rsidRDefault="005238B0" w:rsidP="005238B0">
            <w:pPr>
              <w:spacing w:after="0"/>
            </w:pPr>
            <w:r w:rsidRPr="00C507D1">
              <w:rPr>
                <w:rFonts w:cs="Arial"/>
                <w:color w:val="000000"/>
              </w:rPr>
              <w:t>2.05</w:t>
            </w:r>
          </w:p>
        </w:tc>
      </w:tr>
      <w:tr w:rsidR="005238B0" w:rsidRPr="00C507D1" w14:paraId="63790B9A" w14:textId="77777777" w:rsidTr="005238B0">
        <w:trPr>
          <w:cantSplit/>
          <w:trHeight w:hRule="exact" w:val="264"/>
          <w:tblHeader/>
        </w:trPr>
        <w:tc>
          <w:tcPr>
            <w:tcW w:w="928" w:type="dxa"/>
            <w:shd w:val="clear" w:color="auto" w:fill="auto"/>
          </w:tcPr>
          <w:p w14:paraId="6CB66A25" w14:textId="77777777" w:rsidR="005238B0" w:rsidRPr="005238B0" w:rsidRDefault="005238B0" w:rsidP="005238B0">
            <w:pPr>
              <w:spacing w:after="0"/>
              <w:rPr>
                <w:rFonts w:eastAsia="Calibri" w:cs="Calibri"/>
                <w:b/>
              </w:rPr>
            </w:pPr>
            <w:r w:rsidRPr="005238B0">
              <w:t>3</w:t>
            </w:r>
          </w:p>
        </w:tc>
        <w:tc>
          <w:tcPr>
            <w:tcW w:w="5671" w:type="dxa"/>
            <w:shd w:val="clear" w:color="auto" w:fill="auto"/>
            <w:vAlign w:val="bottom"/>
          </w:tcPr>
          <w:p w14:paraId="2D130328" w14:textId="77777777" w:rsidR="005238B0" w:rsidRPr="00C507D1" w:rsidRDefault="005238B0" w:rsidP="005238B0">
            <w:pPr>
              <w:spacing w:after="0"/>
            </w:pPr>
            <w:r w:rsidRPr="00C507D1">
              <w:rPr>
                <w:rFonts w:cs="Arial"/>
                <w:color w:val="000000"/>
              </w:rPr>
              <w:t xml:space="preserve">Food Waste </w:t>
            </w:r>
          </w:p>
        </w:tc>
        <w:tc>
          <w:tcPr>
            <w:tcW w:w="1906" w:type="dxa"/>
            <w:shd w:val="clear" w:color="auto" w:fill="auto"/>
            <w:vAlign w:val="bottom"/>
          </w:tcPr>
          <w:p w14:paraId="4D6CD6CB" w14:textId="77777777" w:rsidR="005238B0" w:rsidRPr="00C507D1" w:rsidRDefault="005238B0" w:rsidP="005238B0">
            <w:pPr>
              <w:spacing w:after="0"/>
            </w:pPr>
            <w:r w:rsidRPr="00C507D1">
              <w:rPr>
                <w:rFonts w:cs="Arial"/>
                <w:color w:val="000000"/>
              </w:rPr>
              <w:t>0.91</w:t>
            </w:r>
          </w:p>
        </w:tc>
      </w:tr>
      <w:tr w:rsidR="005238B0" w:rsidRPr="00C507D1" w14:paraId="198B9AB8" w14:textId="77777777" w:rsidTr="005238B0">
        <w:trPr>
          <w:cantSplit/>
          <w:trHeight w:hRule="exact" w:val="264"/>
          <w:tblHeader/>
        </w:trPr>
        <w:tc>
          <w:tcPr>
            <w:tcW w:w="928" w:type="dxa"/>
            <w:shd w:val="clear" w:color="auto" w:fill="auto"/>
          </w:tcPr>
          <w:p w14:paraId="35BEF554"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79D65DF2" w14:textId="42DDAF4F" w:rsidR="005238B0" w:rsidRPr="00C507D1" w:rsidRDefault="005238B0" w:rsidP="005238B0">
            <w:pPr>
              <w:spacing w:after="0"/>
            </w:pPr>
            <w:r w:rsidRPr="00C507D1">
              <w:rPr>
                <w:rFonts w:cs="Arial"/>
                <w:color w:val="000000"/>
              </w:rPr>
              <w:t xml:space="preserve">Food Waste (to </w:t>
            </w:r>
            <w:r w:rsidR="00073CD5" w:rsidRPr="00C507D1">
              <w:rPr>
                <w:rFonts w:cs="Arial"/>
                <w:color w:val="000000"/>
              </w:rPr>
              <w:t>compost</w:t>
            </w:r>
            <w:r w:rsidRPr="00C507D1">
              <w:rPr>
                <w:rFonts w:cs="Arial"/>
                <w:color w:val="000000"/>
              </w:rPr>
              <w:t xml:space="preserve">/livestock)  </w:t>
            </w:r>
          </w:p>
        </w:tc>
        <w:tc>
          <w:tcPr>
            <w:tcW w:w="1906" w:type="dxa"/>
            <w:shd w:val="clear" w:color="auto" w:fill="auto"/>
            <w:vAlign w:val="bottom"/>
          </w:tcPr>
          <w:p w14:paraId="2FDF033A" w14:textId="77777777" w:rsidR="005238B0" w:rsidRPr="00C507D1" w:rsidRDefault="005238B0" w:rsidP="005238B0">
            <w:pPr>
              <w:spacing w:after="0"/>
            </w:pPr>
            <w:r w:rsidRPr="00C507D1">
              <w:rPr>
                <w:rFonts w:cs="Arial"/>
                <w:color w:val="000000"/>
              </w:rPr>
              <w:t>0.02</w:t>
            </w:r>
          </w:p>
        </w:tc>
      </w:tr>
      <w:tr w:rsidR="005238B0" w:rsidRPr="00C507D1" w14:paraId="36C7797F" w14:textId="77777777" w:rsidTr="005238B0">
        <w:trPr>
          <w:cantSplit/>
          <w:trHeight w:hRule="exact" w:val="264"/>
          <w:tblHeader/>
        </w:trPr>
        <w:tc>
          <w:tcPr>
            <w:tcW w:w="928" w:type="dxa"/>
            <w:shd w:val="clear" w:color="auto" w:fill="auto"/>
          </w:tcPr>
          <w:p w14:paraId="1BBB45BC" w14:textId="77777777" w:rsidR="005238B0" w:rsidRPr="005238B0" w:rsidRDefault="005238B0" w:rsidP="005238B0">
            <w:pPr>
              <w:spacing w:after="0"/>
              <w:rPr>
                <w:rFonts w:eastAsia="Calibri" w:cs="Calibri"/>
              </w:rPr>
            </w:pPr>
            <w:r w:rsidRPr="005238B0">
              <w:t>3</w:t>
            </w:r>
          </w:p>
        </w:tc>
        <w:tc>
          <w:tcPr>
            <w:tcW w:w="5671" w:type="dxa"/>
            <w:shd w:val="clear" w:color="auto" w:fill="auto"/>
          </w:tcPr>
          <w:p w14:paraId="7A6EFC4F" w14:textId="77777777" w:rsidR="005238B0" w:rsidRPr="00C507D1" w:rsidRDefault="005238B0" w:rsidP="005238B0">
            <w:pPr>
              <w:spacing w:after="0"/>
            </w:pPr>
            <w:r w:rsidRPr="00C507D1">
              <w:t xml:space="preserve">Comingled </w:t>
            </w:r>
            <w:r>
              <w:t>R</w:t>
            </w:r>
            <w:r w:rsidRPr="00C507D1">
              <w:t>ecycling</w:t>
            </w:r>
          </w:p>
        </w:tc>
        <w:tc>
          <w:tcPr>
            <w:tcW w:w="1906" w:type="dxa"/>
            <w:shd w:val="clear" w:color="auto" w:fill="auto"/>
          </w:tcPr>
          <w:p w14:paraId="0ED259B0" w14:textId="77777777" w:rsidR="005238B0" w:rsidRPr="00C507D1" w:rsidRDefault="005238B0" w:rsidP="005238B0">
            <w:pPr>
              <w:spacing w:after="0"/>
            </w:pPr>
            <w:r w:rsidRPr="00C507D1">
              <w:t>0.00</w:t>
            </w:r>
          </w:p>
        </w:tc>
      </w:tr>
      <w:tr w:rsidR="005238B0" w:rsidRPr="00C507D1" w14:paraId="2DA3035F" w14:textId="77777777" w:rsidTr="005238B0">
        <w:trPr>
          <w:cantSplit/>
          <w:trHeight w:hRule="exact" w:val="264"/>
          <w:tblHeader/>
        </w:trPr>
        <w:tc>
          <w:tcPr>
            <w:tcW w:w="928" w:type="dxa"/>
            <w:shd w:val="clear" w:color="auto" w:fill="auto"/>
          </w:tcPr>
          <w:p w14:paraId="1D8CDEB2"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4048192C" w14:textId="77777777" w:rsidR="005238B0" w:rsidRPr="00C507D1" w:rsidRDefault="005238B0" w:rsidP="005238B0">
            <w:pPr>
              <w:spacing w:after="0"/>
            </w:pPr>
            <w:r>
              <w:rPr>
                <w:rFonts w:cs="Arial"/>
                <w:color w:val="000000"/>
              </w:rPr>
              <w:t>New Construction M</w:t>
            </w:r>
            <w:r w:rsidRPr="00C507D1">
              <w:rPr>
                <w:rFonts w:cs="Arial"/>
                <w:color w:val="000000"/>
              </w:rPr>
              <w:t>aterials</w:t>
            </w:r>
          </w:p>
        </w:tc>
        <w:tc>
          <w:tcPr>
            <w:tcW w:w="1906" w:type="dxa"/>
            <w:shd w:val="clear" w:color="auto" w:fill="auto"/>
            <w:vAlign w:val="bottom"/>
          </w:tcPr>
          <w:p w14:paraId="28FA83E7" w14:textId="77777777" w:rsidR="005238B0" w:rsidRPr="00C507D1" w:rsidRDefault="005238B0" w:rsidP="005238B0">
            <w:pPr>
              <w:spacing w:after="0"/>
            </w:pPr>
            <w:r w:rsidRPr="00C507D1">
              <w:rPr>
                <w:rFonts w:cs="Arial"/>
                <w:color w:val="000000"/>
              </w:rPr>
              <w:t>41.46</w:t>
            </w:r>
          </w:p>
        </w:tc>
      </w:tr>
      <w:tr w:rsidR="005238B0" w:rsidRPr="00C507D1" w14:paraId="3AE11EF2" w14:textId="77777777" w:rsidTr="005238B0">
        <w:trPr>
          <w:cantSplit/>
          <w:trHeight w:hRule="exact" w:val="264"/>
          <w:tblHeader/>
        </w:trPr>
        <w:tc>
          <w:tcPr>
            <w:tcW w:w="928" w:type="dxa"/>
            <w:shd w:val="clear" w:color="auto" w:fill="auto"/>
          </w:tcPr>
          <w:p w14:paraId="294B5CD4"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4B3501DD" w14:textId="77777777" w:rsidR="005238B0" w:rsidRPr="00C507D1" w:rsidRDefault="005238B0" w:rsidP="005238B0">
            <w:pPr>
              <w:spacing w:after="0"/>
            </w:pPr>
            <w:r w:rsidRPr="00C507D1">
              <w:rPr>
                <w:rFonts w:cs="Arial"/>
                <w:color w:val="000000"/>
              </w:rPr>
              <w:t>Domestic Flights</w:t>
            </w:r>
          </w:p>
        </w:tc>
        <w:tc>
          <w:tcPr>
            <w:tcW w:w="1906" w:type="dxa"/>
            <w:shd w:val="clear" w:color="auto" w:fill="auto"/>
            <w:vAlign w:val="bottom"/>
          </w:tcPr>
          <w:p w14:paraId="4B9554C0" w14:textId="77777777" w:rsidR="005238B0" w:rsidRPr="00C507D1" w:rsidRDefault="005238B0" w:rsidP="005238B0">
            <w:pPr>
              <w:spacing w:after="0"/>
            </w:pPr>
            <w:r w:rsidRPr="00C507D1">
              <w:rPr>
                <w:rFonts w:cs="Arial"/>
                <w:color w:val="000000"/>
              </w:rPr>
              <w:t>5.21</w:t>
            </w:r>
          </w:p>
        </w:tc>
      </w:tr>
      <w:tr w:rsidR="005238B0" w:rsidRPr="00C507D1" w14:paraId="12DFF51A" w14:textId="77777777" w:rsidTr="005238B0">
        <w:trPr>
          <w:cantSplit/>
          <w:trHeight w:hRule="exact" w:val="264"/>
          <w:tblHeader/>
        </w:trPr>
        <w:tc>
          <w:tcPr>
            <w:tcW w:w="928" w:type="dxa"/>
            <w:shd w:val="clear" w:color="auto" w:fill="auto"/>
          </w:tcPr>
          <w:p w14:paraId="696CF18B"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137B5437" w14:textId="77777777" w:rsidR="005238B0" w:rsidRPr="00C507D1" w:rsidRDefault="005238B0" w:rsidP="005238B0">
            <w:pPr>
              <w:spacing w:after="0"/>
            </w:pPr>
            <w:r w:rsidRPr="00C507D1">
              <w:rPr>
                <w:rFonts w:cs="Arial"/>
                <w:color w:val="000000"/>
              </w:rPr>
              <w:t>International Flights</w:t>
            </w:r>
          </w:p>
        </w:tc>
        <w:tc>
          <w:tcPr>
            <w:tcW w:w="1906" w:type="dxa"/>
            <w:shd w:val="clear" w:color="auto" w:fill="auto"/>
            <w:vAlign w:val="bottom"/>
          </w:tcPr>
          <w:p w14:paraId="7D5A78F9" w14:textId="77777777" w:rsidR="005238B0" w:rsidRPr="00C507D1" w:rsidRDefault="005238B0" w:rsidP="005238B0">
            <w:pPr>
              <w:spacing w:after="0"/>
            </w:pPr>
            <w:r w:rsidRPr="00C507D1">
              <w:rPr>
                <w:rFonts w:cs="Arial"/>
                <w:color w:val="000000"/>
              </w:rPr>
              <w:t>12.96</w:t>
            </w:r>
          </w:p>
        </w:tc>
      </w:tr>
      <w:tr w:rsidR="005238B0" w:rsidRPr="00C507D1" w14:paraId="30F53721" w14:textId="77777777" w:rsidTr="005238B0">
        <w:trPr>
          <w:cantSplit/>
          <w:trHeight w:hRule="exact" w:val="264"/>
          <w:tblHeader/>
        </w:trPr>
        <w:tc>
          <w:tcPr>
            <w:tcW w:w="928" w:type="dxa"/>
            <w:shd w:val="clear" w:color="auto" w:fill="auto"/>
          </w:tcPr>
          <w:p w14:paraId="34CA97AD"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5B298849" w14:textId="6E2A0830" w:rsidR="005238B0" w:rsidRPr="00C507D1" w:rsidRDefault="00073CD5" w:rsidP="005238B0">
            <w:pPr>
              <w:spacing w:after="0"/>
            </w:pPr>
            <w:r>
              <w:rPr>
                <w:rFonts w:cs="Arial"/>
                <w:color w:val="000000"/>
              </w:rPr>
              <w:t>Accommodation</w:t>
            </w:r>
          </w:p>
        </w:tc>
        <w:tc>
          <w:tcPr>
            <w:tcW w:w="1906" w:type="dxa"/>
            <w:shd w:val="clear" w:color="auto" w:fill="auto"/>
            <w:vAlign w:val="bottom"/>
          </w:tcPr>
          <w:p w14:paraId="635E3A73" w14:textId="77777777" w:rsidR="005238B0" w:rsidRPr="00C507D1" w:rsidRDefault="005238B0" w:rsidP="005238B0">
            <w:pPr>
              <w:spacing w:after="0"/>
            </w:pPr>
            <w:r w:rsidRPr="00C507D1">
              <w:rPr>
                <w:rFonts w:cs="Arial"/>
                <w:color w:val="000000"/>
              </w:rPr>
              <w:t>15.26</w:t>
            </w:r>
          </w:p>
        </w:tc>
      </w:tr>
      <w:tr w:rsidR="005238B0" w:rsidRPr="00C507D1" w14:paraId="2A385E13" w14:textId="77777777" w:rsidTr="005238B0">
        <w:trPr>
          <w:cantSplit/>
          <w:trHeight w:hRule="exact" w:val="264"/>
          <w:tblHeader/>
        </w:trPr>
        <w:tc>
          <w:tcPr>
            <w:tcW w:w="928" w:type="dxa"/>
            <w:shd w:val="clear" w:color="auto" w:fill="auto"/>
          </w:tcPr>
          <w:p w14:paraId="4A50AF4D"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1461ED4C" w14:textId="6C64FFE2" w:rsidR="005238B0" w:rsidRPr="00C507D1" w:rsidRDefault="005238B0" w:rsidP="005238B0">
            <w:pPr>
              <w:spacing w:after="0"/>
            </w:pPr>
            <w:r>
              <w:rPr>
                <w:rFonts w:cs="Arial"/>
                <w:color w:val="000000"/>
              </w:rPr>
              <w:t>Non-</w:t>
            </w:r>
            <w:r w:rsidR="00073CD5">
              <w:rPr>
                <w:rFonts w:cs="Arial"/>
                <w:color w:val="000000"/>
              </w:rPr>
              <w:t>Alcoholic</w:t>
            </w:r>
            <w:r>
              <w:rPr>
                <w:rFonts w:cs="Arial"/>
                <w:color w:val="000000"/>
              </w:rPr>
              <w:t xml:space="preserve"> B</w:t>
            </w:r>
            <w:r w:rsidRPr="00C507D1">
              <w:rPr>
                <w:rFonts w:cs="Arial"/>
                <w:color w:val="000000"/>
              </w:rPr>
              <w:t>everages</w:t>
            </w:r>
          </w:p>
        </w:tc>
        <w:tc>
          <w:tcPr>
            <w:tcW w:w="1906" w:type="dxa"/>
            <w:shd w:val="clear" w:color="auto" w:fill="auto"/>
            <w:vAlign w:val="bottom"/>
          </w:tcPr>
          <w:p w14:paraId="0BD94BAA" w14:textId="77777777" w:rsidR="005238B0" w:rsidRPr="00C507D1" w:rsidRDefault="005238B0" w:rsidP="005238B0">
            <w:pPr>
              <w:spacing w:after="0"/>
            </w:pPr>
            <w:r w:rsidRPr="00C507D1">
              <w:rPr>
                <w:rFonts w:cs="Arial"/>
                <w:color w:val="000000"/>
              </w:rPr>
              <w:t>2.60</w:t>
            </w:r>
          </w:p>
        </w:tc>
      </w:tr>
      <w:tr w:rsidR="005238B0" w:rsidRPr="00C507D1" w14:paraId="2CB1CEF2" w14:textId="77777777" w:rsidTr="005238B0">
        <w:trPr>
          <w:cantSplit/>
          <w:trHeight w:hRule="exact" w:val="264"/>
          <w:tblHeader/>
        </w:trPr>
        <w:tc>
          <w:tcPr>
            <w:tcW w:w="928" w:type="dxa"/>
            <w:shd w:val="clear" w:color="auto" w:fill="auto"/>
          </w:tcPr>
          <w:p w14:paraId="4F7DC3E9"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26D1A6A6" w14:textId="77777777" w:rsidR="005238B0" w:rsidRPr="00C507D1" w:rsidRDefault="005238B0" w:rsidP="005238B0">
            <w:pPr>
              <w:spacing w:after="0"/>
            </w:pPr>
            <w:r w:rsidRPr="00C507D1">
              <w:rPr>
                <w:rFonts w:cs="Arial"/>
                <w:color w:val="000000"/>
              </w:rPr>
              <w:t>Beer</w:t>
            </w:r>
          </w:p>
        </w:tc>
        <w:tc>
          <w:tcPr>
            <w:tcW w:w="1906" w:type="dxa"/>
            <w:shd w:val="clear" w:color="auto" w:fill="auto"/>
            <w:vAlign w:val="bottom"/>
          </w:tcPr>
          <w:p w14:paraId="53F30273" w14:textId="77777777" w:rsidR="005238B0" w:rsidRPr="00C507D1" w:rsidRDefault="005238B0" w:rsidP="005238B0">
            <w:pPr>
              <w:spacing w:after="0"/>
            </w:pPr>
            <w:r w:rsidRPr="00C507D1">
              <w:rPr>
                <w:rFonts w:cs="Arial"/>
                <w:color w:val="000000"/>
              </w:rPr>
              <w:t>2.96</w:t>
            </w:r>
          </w:p>
        </w:tc>
      </w:tr>
      <w:tr w:rsidR="005238B0" w:rsidRPr="00C507D1" w14:paraId="7F1FCE5E" w14:textId="77777777" w:rsidTr="005238B0">
        <w:trPr>
          <w:cantSplit/>
          <w:trHeight w:hRule="exact" w:val="264"/>
          <w:tblHeader/>
        </w:trPr>
        <w:tc>
          <w:tcPr>
            <w:tcW w:w="928" w:type="dxa"/>
            <w:shd w:val="clear" w:color="auto" w:fill="auto"/>
          </w:tcPr>
          <w:p w14:paraId="3C5CD33C" w14:textId="77777777" w:rsidR="005238B0" w:rsidRPr="005238B0" w:rsidRDefault="005238B0" w:rsidP="005238B0">
            <w:pPr>
              <w:spacing w:after="0"/>
            </w:pPr>
            <w:r w:rsidRPr="005238B0">
              <w:lastRenderedPageBreak/>
              <w:t>3</w:t>
            </w:r>
          </w:p>
        </w:tc>
        <w:tc>
          <w:tcPr>
            <w:tcW w:w="5671" w:type="dxa"/>
            <w:shd w:val="clear" w:color="auto" w:fill="auto"/>
            <w:vAlign w:val="bottom"/>
          </w:tcPr>
          <w:p w14:paraId="50207CE9" w14:textId="77777777" w:rsidR="005238B0" w:rsidRPr="00C507D1" w:rsidRDefault="005238B0" w:rsidP="005238B0">
            <w:pPr>
              <w:spacing w:after="0"/>
            </w:pPr>
            <w:r w:rsidRPr="00C507D1">
              <w:rPr>
                <w:rFonts w:cs="Arial"/>
                <w:color w:val="000000"/>
              </w:rPr>
              <w:t>Wine and Spirits</w:t>
            </w:r>
          </w:p>
        </w:tc>
        <w:tc>
          <w:tcPr>
            <w:tcW w:w="1906" w:type="dxa"/>
            <w:shd w:val="clear" w:color="auto" w:fill="auto"/>
            <w:vAlign w:val="bottom"/>
          </w:tcPr>
          <w:p w14:paraId="0964E7DD" w14:textId="77777777" w:rsidR="005238B0" w:rsidRPr="00C507D1" w:rsidRDefault="005238B0" w:rsidP="005238B0">
            <w:pPr>
              <w:spacing w:after="0"/>
            </w:pPr>
            <w:r w:rsidRPr="00C507D1">
              <w:rPr>
                <w:rFonts w:cs="Arial"/>
                <w:color w:val="000000"/>
              </w:rPr>
              <w:t>5.52</w:t>
            </w:r>
          </w:p>
        </w:tc>
      </w:tr>
      <w:tr w:rsidR="005238B0" w:rsidRPr="00C507D1" w14:paraId="73FC1394" w14:textId="77777777" w:rsidTr="005238B0">
        <w:trPr>
          <w:cantSplit/>
          <w:trHeight w:hRule="exact" w:val="264"/>
          <w:tblHeader/>
        </w:trPr>
        <w:tc>
          <w:tcPr>
            <w:tcW w:w="928" w:type="dxa"/>
            <w:shd w:val="clear" w:color="auto" w:fill="auto"/>
          </w:tcPr>
          <w:p w14:paraId="023CD820" w14:textId="77777777" w:rsidR="005238B0" w:rsidRPr="005238B0" w:rsidRDefault="005238B0" w:rsidP="005238B0">
            <w:pPr>
              <w:spacing w:after="0"/>
            </w:pPr>
            <w:r w:rsidRPr="005238B0">
              <w:t>3</w:t>
            </w:r>
          </w:p>
        </w:tc>
        <w:tc>
          <w:tcPr>
            <w:tcW w:w="5671" w:type="dxa"/>
            <w:shd w:val="clear" w:color="auto" w:fill="auto"/>
            <w:vAlign w:val="bottom"/>
          </w:tcPr>
          <w:p w14:paraId="733BED5B" w14:textId="77777777" w:rsidR="005238B0" w:rsidRPr="00C507D1" w:rsidRDefault="005238B0" w:rsidP="005238B0">
            <w:pPr>
              <w:spacing w:after="0"/>
            </w:pPr>
            <w:r w:rsidRPr="00C507D1">
              <w:rPr>
                <w:rFonts w:cs="Arial"/>
                <w:color w:val="000000"/>
              </w:rPr>
              <w:t>Tea and Coffee</w:t>
            </w:r>
          </w:p>
        </w:tc>
        <w:tc>
          <w:tcPr>
            <w:tcW w:w="1906" w:type="dxa"/>
            <w:shd w:val="clear" w:color="auto" w:fill="auto"/>
            <w:vAlign w:val="bottom"/>
          </w:tcPr>
          <w:p w14:paraId="5D0DC2EE" w14:textId="77777777" w:rsidR="005238B0" w:rsidRPr="00C507D1" w:rsidRDefault="005238B0" w:rsidP="005238B0">
            <w:pPr>
              <w:spacing w:after="0"/>
            </w:pPr>
            <w:r w:rsidRPr="00C507D1">
              <w:rPr>
                <w:rFonts w:cs="Arial"/>
                <w:color w:val="000000"/>
              </w:rPr>
              <w:t>1.95</w:t>
            </w:r>
          </w:p>
        </w:tc>
      </w:tr>
      <w:tr w:rsidR="005238B0" w:rsidRPr="00C507D1" w14:paraId="137BA724" w14:textId="77777777" w:rsidTr="005238B0">
        <w:trPr>
          <w:cantSplit/>
          <w:trHeight w:hRule="exact" w:val="264"/>
          <w:tblHeader/>
        </w:trPr>
        <w:tc>
          <w:tcPr>
            <w:tcW w:w="928" w:type="dxa"/>
            <w:shd w:val="clear" w:color="auto" w:fill="auto"/>
          </w:tcPr>
          <w:p w14:paraId="2887FCEB" w14:textId="77777777" w:rsidR="005238B0" w:rsidRPr="005238B0" w:rsidRDefault="005238B0" w:rsidP="005238B0">
            <w:pPr>
              <w:spacing w:after="0"/>
            </w:pPr>
            <w:r w:rsidRPr="005238B0">
              <w:t>3</w:t>
            </w:r>
          </w:p>
        </w:tc>
        <w:tc>
          <w:tcPr>
            <w:tcW w:w="5671" w:type="dxa"/>
            <w:shd w:val="clear" w:color="auto" w:fill="auto"/>
            <w:vAlign w:val="bottom"/>
          </w:tcPr>
          <w:p w14:paraId="03FE896F" w14:textId="77777777" w:rsidR="005238B0" w:rsidRPr="00C507D1" w:rsidRDefault="005238B0" w:rsidP="005238B0">
            <w:pPr>
              <w:spacing w:after="0"/>
            </w:pPr>
            <w:r w:rsidRPr="00C507D1">
              <w:rPr>
                <w:rFonts w:cs="Arial"/>
                <w:color w:val="000000"/>
              </w:rPr>
              <w:t>Meal - With Red Meat</w:t>
            </w:r>
          </w:p>
        </w:tc>
        <w:tc>
          <w:tcPr>
            <w:tcW w:w="1906" w:type="dxa"/>
            <w:shd w:val="clear" w:color="auto" w:fill="auto"/>
            <w:vAlign w:val="bottom"/>
          </w:tcPr>
          <w:p w14:paraId="56EB146E" w14:textId="77777777" w:rsidR="005238B0" w:rsidRPr="00C507D1" w:rsidRDefault="005238B0" w:rsidP="005238B0">
            <w:pPr>
              <w:spacing w:after="0"/>
            </w:pPr>
            <w:r w:rsidRPr="00C507D1">
              <w:rPr>
                <w:rFonts w:cs="Arial"/>
                <w:color w:val="000000"/>
              </w:rPr>
              <w:t>110.78</w:t>
            </w:r>
          </w:p>
        </w:tc>
      </w:tr>
      <w:tr w:rsidR="005238B0" w:rsidRPr="00C507D1" w14:paraId="371419BE" w14:textId="77777777" w:rsidTr="005238B0">
        <w:trPr>
          <w:cantSplit/>
          <w:trHeight w:hRule="exact" w:val="264"/>
          <w:tblHeader/>
        </w:trPr>
        <w:tc>
          <w:tcPr>
            <w:tcW w:w="928" w:type="dxa"/>
            <w:shd w:val="clear" w:color="auto" w:fill="auto"/>
          </w:tcPr>
          <w:p w14:paraId="09C7C821" w14:textId="77777777" w:rsidR="005238B0" w:rsidRPr="005238B0" w:rsidRDefault="005238B0" w:rsidP="005238B0">
            <w:pPr>
              <w:spacing w:after="0"/>
            </w:pPr>
            <w:r w:rsidRPr="005238B0">
              <w:t>3</w:t>
            </w:r>
          </w:p>
        </w:tc>
        <w:tc>
          <w:tcPr>
            <w:tcW w:w="5671" w:type="dxa"/>
            <w:shd w:val="clear" w:color="auto" w:fill="auto"/>
            <w:vAlign w:val="bottom"/>
          </w:tcPr>
          <w:p w14:paraId="5055485E" w14:textId="77777777" w:rsidR="005238B0" w:rsidRPr="00C507D1" w:rsidRDefault="005238B0" w:rsidP="005238B0">
            <w:pPr>
              <w:spacing w:after="0"/>
            </w:pPr>
            <w:r w:rsidRPr="00C507D1">
              <w:rPr>
                <w:rFonts w:cs="Arial"/>
                <w:color w:val="000000"/>
              </w:rPr>
              <w:t>Meal - Other</w:t>
            </w:r>
          </w:p>
        </w:tc>
        <w:tc>
          <w:tcPr>
            <w:tcW w:w="1906" w:type="dxa"/>
            <w:shd w:val="clear" w:color="auto" w:fill="auto"/>
            <w:vAlign w:val="bottom"/>
          </w:tcPr>
          <w:p w14:paraId="72C628B2" w14:textId="77777777" w:rsidR="005238B0" w:rsidRPr="00C507D1" w:rsidRDefault="005238B0" w:rsidP="005238B0">
            <w:pPr>
              <w:spacing w:after="0"/>
            </w:pPr>
            <w:r w:rsidRPr="00C507D1">
              <w:rPr>
                <w:rFonts w:cs="Arial"/>
                <w:color w:val="000000"/>
              </w:rPr>
              <w:t>23.18</w:t>
            </w:r>
          </w:p>
        </w:tc>
      </w:tr>
      <w:tr w:rsidR="005238B0" w:rsidRPr="00C507D1" w14:paraId="37B48E91" w14:textId="77777777" w:rsidTr="005238B0">
        <w:trPr>
          <w:cantSplit/>
          <w:trHeight w:hRule="exact" w:val="264"/>
          <w:tblHeader/>
        </w:trPr>
        <w:tc>
          <w:tcPr>
            <w:tcW w:w="928" w:type="dxa"/>
            <w:shd w:val="clear" w:color="auto" w:fill="auto"/>
          </w:tcPr>
          <w:p w14:paraId="192C6937" w14:textId="77777777" w:rsidR="005238B0" w:rsidRPr="005238B0" w:rsidRDefault="005238B0" w:rsidP="005238B0">
            <w:pPr>
              <w:spacing w:after="0"/>
              <w:rPr>
                <w:rFonts w:eastAsia="Calibri" w:cs="Calibri"/>
              </w:rPr>
            </w:pPr>
            <w:r w:rsidRPr="005238B0">
              <w:t>3</w:t>
            </w:r>
          </w:p>
        </w:tc>
        <w:tc>
          <w:tcPr>
            <w:tcW w:w="5671" w:type="dxa"/>
            <w:shd w:val="clear" w:color="auto" w:fill="auto"/>
            <w:vAlign w:val="bottom"/>
          </w:tcPr>
          <w:p w14:paraId="57CD18A1" w14:textId="77777777" w:rsidR="005238B0" w:rsidRPr="00C507D1" w:rsidRDefault="005238B0" w:rsidP="005238B0">
            <w:pPr>
              <w:spacing w:after="0"/>
            </w:pPr>
            <w:r w:rsidRPr="00C507D1">
              <w:rPr>
                <w:rFonts w:cs="Arial"/>
                <w:color w:val="000000"/>
              </w:rPr>
              <w:t>Dessert</w:t>
            </w:r>
          </w:p>
        </w:tc>
        <w:tc>
          <w:tcPr>
            <w:tcW w:w="1906" w:type="dxa"/>
            <w:shd w:val="clear" w:color="auto" w:fill="auto"/>
            <w:vAlign w:val="bottom"/>
          </w:tcPr>
          <w:p w14:paraId="7236B46C" w14:textId="77777777" w:rsidR="005238B0" w:rsidRPr="00C507D1" w:rsidRDefault="005238B0" w:rsidP="005238B0">
            <w:pPr>
              <w:spacing w:after="0"/>
            </w:pPr>
            <w:r w:rsidRPr="00C507D1">
              <w:rPr>
                <w:rFonts w:cs="Arial"/>
                <w:color w:val="000000"/>
              </w:rPr>
              <w:t>11.44</w:t>
            </w:r>
          </w:p>
        </w:tc>
      </w:tr>
      <w:tr w:rsidR="005238B0" w:rsidRPr="00C507D1" w14:paraId="3FD4AE8E" w14:textId="77777777" w:rsidTr="005238B0">
        <w:trPr>
          <w:cantSplit/>
          <w:trHeight w:hRule="exact" w:val="264"/>
          <w:tblHeader/>
        </w:trPr>
        <w:tc>
          <w:tcPr>
            <w:tcW w:w="928" w:type="dxa"/>
            <w:shd w:val="clear" w:color="auto" w:fill="auto"/>
          </w:tcPr>
          <w:p w14:paraId="24CE29EB" w14:textId="77777777" w:rsidR="005238B0" w:rsidRPr="005238B0" w:rsidRDefault="005238B0" w:rsidP="005238B0">
            <w:pPr>
              <w:spacing w:after="0"/>
            </w:pPr>
            <w:r w:rsidRPr="005238B0">
              <w:t>3</w:t>
            </w:r>
          </w:p>
        </w:tc>
        <w:tc>
          <w:tcPr>
            <w:tcW w:w="5671" w:type="dxa"/>
            <w:shd w:val="clear" w:color="auto" w:fill="auto"/>
            <w:vAlign w:val="bottom"/>
          </w:tcPr>
          <w:p w14:paraId="142ADCAA" w14:textId="77777777" w:rsidR="005238B0" w:rsidRPr="00C507D1" w:rsidRDefault="005238B0" w:rsidP="005238B0">
            <w:pPr>
              <w:spacing w:after="0"/>
            </w:pPr>
            <w:r w:rsidRPr="00C507D1">
              <w:rPr>
                <w:rFonts w:cs="Arial"/>
                <w:color w:val="000000"/>
              </w:rPr>
              <w:t>Patron Transport - All Modes</w:t>
            </w:r>
          </w:p>
        </w:tc>
        <w:tc>
          <w:tcPr>
            <w:tcW w:w="1906" w:type="dxa"/>
            <w:shd w:val="clear" w:color="auto" w:fill="auto"/>
            <w:vAlign w:val="bottom"/>
          </w:tcPr>
          <w:p w14:paraId="4B601364" w14:textId="77777777" w:rsidR="005238B0" w:rsidRPr="00C507D1" w:rsidRDefault="005238B0" w:rsidP="005238B0">
            <w:pPr>
              <w:spacing w:after="0"/>
            </w:pPr>
            <w:r w:rsidRPr="00C507D1">
              <w:rPr>
                <w:rFonts w:cs="Arial"/>
                <w:color w:val="000000"/>
              </w:rPr>
              <w:t>218.04</w:t>
            </w:r>
          </w:p>
        </w:tc>
      </w:tr>
      <w:tr w:rsidR="005238B0" w:rsidRPr="00C507D1" w14:paraId="0B7AFEED" w14:textId="77777777" w:rsidTr="005238B0">
        <w:trPr>
          <w:cantSplit/>
          <w:trHeight w:hRule="exact" w:val="260"/>
          <w:tblHeader/>
        </w:trPr>
        <w:tc>
          <w:tcPr>
            <w:tcW w:w="928" w:type="dxa"/>
            <w:shd w:val="clear" w:color="auto" w:fill="auto"/>
          </w:tcPr>
          <w:p w14:paraId="5D396583" w14:textId="77777777" w:rsidR="005238B0" w:rsidRPr="005238B0" w:rsidRDefault="005238B0" w:rsidP="005238B0">
            <w:pPr>
              <w:rPr>
                <w:rFonts w:eastAsia="Calibri" w:cs="Calibri"/>
              </w:rPr>
            </w:pPr>
            <w:r w:rsidRPr="005238B0">
              <w:t>3</w:t>
            </w:r>
          </w:p>
        </w:tc>
        <w:tc>
          <w:tcPr>
            <w:tcW w:w="5671" w:type="dxa"/>
            <w:shd w:val="clear" w:color="auto" w:fill="auto"/>
            <w:vAlign w:val="bottom"/>
          </w:tcPr>
          <w:p w14:paraId="7DF829F4" w14:textId="77777777" w:rsidR="005238B0" w:rsidRPr="00C507D1" w:rsidRDefault="005238B0" w:rsidP="005238B0">
            <w:pPr>
              <w:rPr>
                <w:rFonts w:eastAsia="Calibri" w:cs="Calibri"/>
              </w:rPr>
            </w:pPr>
            <w:r>
              <w:rPr>
                <w:rFonts w:cs="Arial"/>
                <w:color w:val="000000"/>
              </w:rPr>
              <w:t>Tier Three - Out of Scope E</w:t>
            </w:r>
            <w:r w:rsidRPr="00C507D1">
              <w:rPr>
                <w:rFonts w:cs="Arial"/>
                <w:color w:val="000000"/>
              </w:rPr>
              <w:t>vents</w:t>
            </w:r>
          </w:p>
        </w:tc>
        <w:tc>
          <w:tcPr>
            <w:tcW w:w="1906" w:type="dxa"/>
            <w:shd w:val="clear" w:color="auto" w:fill="auto"/>
            <w:vAlign w:val="bottom"/>
          </w:tcPr>
          <w:p w14:paraId="346E6DE7" w14:textId="77777777" w:rsidR="005238B0" w:rsidRPr="00C507D1" w:rsidRDefault="005238B0" w:rsidP="005238B0">
            <w:pPr>
              <w:rPr>
                <w:rFonts w:eastAsia="Calibri" w:cs="Calibri"/>
              </w:rPr>
            </w:pPr>
            <w:r w:rsidRPr="00C507D1">
              <w:rPr>
                <w:rFonts w:cs="Arial"/>
                <w:color w:val="000000"/>
              </w:rPr>
              <w:t>68.87</w:t>
            </w:r>
          </w:p>
        </w:tc>
      </w:tr>
      <w:bookmarkEnd w:id="26"/>
    </w:tbl>
    <w:p w14:paraId="7F565B6A" w14:textId="77777777" w:rsidR="005238B0" w:rsidRPr="005238B0" w:rsidRDefault="005238B0" w:rsidP="005238B0"/>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99"/>
        <w:gridCol w:w="1906"/>
      </w:tblGrid>
      <w:tr w:rsidR="005238B0" w:rsidRPr="00991466" w14:paraId="3D7A1E26" w14:textId="77777777" w:rsidTr="001E2F46">
        <w:trPr>
          <w:cantSplit/>
          <w:trHeight w:hRule="exact" w:val="304"/>
        </w:trPr>
        <w:tc>
          <w:tcPr>
            <w:tcW w:w="6599" w:type="dxa"/>
            <w:shd w:val="clear" w:color="auto" w:fill="auto"/>
          </w:tcPr>
          <w:p w14:paraId="6FF473D2" w14:textId="77777777" w:rsidR="005238B0" w:rsidRPr="005238B0" w:rsidRDefault="005238B0" w:rsidP="005238B0">
            <w:pPr>
              <w:rPr>
                <w:rFonts w:eastAsia="Calibri" w:cs="Calibri"/>
                <w:b/>
                <w:bCs/>
              </w:rPr>
            </w:pPr>
            <w:bookmarkStart w:id="27" w:name="RowTitle_Summary_Fashion_Week_2018"/>
            <w:r w:rsidRPr="005238B0">
              <w:rPr>
                <w:b/>
                <w:bCs/>
              </w:rPr>
              <w:t>Total Gross Emissions</w:t>
            </w:r>
          </w:p>
        </w:tc>
        <w:tc>
          <w:tcPr>
            <w:tcW w:w="1906" w:type="dxa"/>
            <w:shd w:val="clear" w:color="auto" w:fill="auto"/>
          </w:tcPr>
          <w:p w14:paraId="100C287E" w14:textId="77777777" w:rsidR="005238B0" w:rsidRPr="00991466" w:rsidRDefault="005238B0" w:rsidP="005238B0">
            <w:r>
              <w:t>528.02</w:t>
            </w:r>
          </w:p>
        </w:tc>
      </w:tr>
      <w:tr w:rsidR="005238B0" w:rsidRPr="00991466" w14:paraId="33BD9049" w14:textId="77777777" w:rsidTr="001E2F46">
        <w:trPr>
          <w:cantSplit/>
          <w:trHeight w:hRule="exact" w:val="295"/>
        </w:trPr>
        <w:tc>
          <w:tcPr>
            <w:tcW w:w="6599" w:type="dxa"/>
            <w:shd w:val="clear" w:color="auto" w:fill="auto"/>
          </w:tcPr>
          <w:p w14:paraId="10E37060" w14:textId="77777777" w:rsidR="005238B0" w:rsidRPr="005238B0" w:rsidRDefault="005238B0" w:rsidP="005238B0">
            <w:pPr>
              <w:rPr>
                <w:rFonts w:eastAsia="Calibri" w:cs="Calibri"/>
                <w:b/>
                <w:bCs/>
              </w:rPr>
            </w:pPr>
            <w:r w:rsidRPr="005238B0">
              <w:rPr>
                <w:b/>
                <w:bCs/>
              </w:rPr>
              <w:t>GreenPower or retired LGCs</w:t>
            </w:r>
          </w:p>
        </w:tc>
        <w:tc>
          <w:tcPr>
            <w:tcW w:w="1906" w:type="dxa"/>
            <w:shd w:val="clear" w:color="auto" w:fill="auto"/>
          </w:tcPr>
          <w:p w14:paraId="005ABAD1" w14:textId="77777777" w:rsidR="005238B0" w:rsidRPr="00991466" w:rsidRDefault="005238B0" w:rsidP="005238B0">
            <w:r>
              <w:t>0</w:t>
            </w:r>
          </w:p>
        </w:tc>
      </w:tr>
      <w:tr w:rsidR="005238B0" w:rsidRPr="00991466" w14:paraId="5DE4CC84" w14:textId="77777777" w:rsidTr="001E2F46">
        <w:trPr>
          <w:cantSplit/>
          <w:trHeight w:hRule="exact" w:val="270"/>
        </w:trPr>
        <w:tc>
          <w:tcPr>
            <w:tcW w:w="6599" w:type="dxa"/>
            <w:shd w:val="clear" w:color="auto" w:fill="auto"/>
          </w:tcPr>
          <w:p w14:paraId="0A550861" w14:textId="77777777" w:rsidR="005238B0" w:rsidRPr="005238B0" w:rsidRDefault="005238B0" w:rsidP="005238B0">
            <w:pPr>
              <w:rPr>
                <w:rFonts w:eastAsia="Calibri" w:cs="Calibri"/>
                <w:b/>
                <w:bCs/>
              </w:rPr>
            </w:pPr>
            <w:r w:rsidRPr="005238B0">
              <w:rPr>
                <w:b/>
                <w:bCs/>
              </w:rPr>
              <w:t>Total Net Emissions</w:t>
            </w:r>
          </w:p>
        </w:tc>
        <w:tc>
          <w:tcPr>
            <w:tcW w:w="1906" w:type="dxa"/>
            <w:shd w:val="clear" w:color="auto" w:fill="auto"/>
          </w:tcPr>
          <w:p w14:paraId="7B2F3A84" w14:textId="77777777" w:rsidR="005238B0" w:rsidRPr="00991466" w:rsidRDefault="005238B0" w:rsidP="005238B0">
            <w:r>
              <w:t>528.03</w:t>
            </w:r>
          </w:p>
        </w:tc>
      </w:tr>
    </w:tbl>
    <w:p w14:paraId="67F42E14" w14:textId="06BD06B9" w:rsidR="005238B0" w:rsidRDefault="005238B0" w:rsidP="005238B0">
      <w:pPr>
        <w:pStyle w:val="Heading3"/>
      </w:pPr>
      <w:bookmarkStart w:id="28" w:name="_Toc14679655"/>
      <w:bookmarkEnd w:id="27"/>
      <w:r>
        <w:t>Table 3 – Emissions Summary – Melbourne Music Week 2018</w:t>
      </w:r>
      <w:bookmarkEnd w:id="28"/>
    </w:p>
    <w:tbl>
      <w:tblPr>
        <w:tblW w:w="85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
        <w:gridCol w:w="5672"/>
        <w:gridCol w:w="1906"/>
      </w:tblGrid>
      <w:tr w:rsidR="005238B0" w:rsidRPr="000D55DB" w14:paraId="25629004" w14:textId="77777777" w:rsidTr="005238B0">
        <w:trPr>
          <w:cantSplit/>
          <w:trHeight w:hRule="exact" w:val="423"/>
          <w:tblHeader/>
        </w:trPr>
        <w:tc>
          <w:tcPr>
            <w:tcW w:w="929" w:type="dxa"/>
            <w:shd w:val="clear" w:color="auto" w:fill="auto"/>
          </w:tcPr>
          <w:p w14:paraId="18E2FAC9" w14:textId="77777777" w:rsidR="005238B0" w:rsidRPr="005238B0" w:rsidRDefault="005238B0" w:rsidP="005238B0">
            <w:pPr>
              <w:rPr>
                <w:rFonts w:eastAsia="Calibri" w:cs="Calibri"/>
                <w:b/>
                <w:bCs/>
              </w:rPr>
            </w:pPr>
            <w:bookmarkStart w:id="29" w:name="ColumnTitle_Summary_Music_Week_2018"/>
            <w:r w:rsidRPr="005238B0">
              <w:rPr>
                <w:b/>
                <w:bCs/>
              </w:rPr>
              <w:t>Scope</w:t>
            </w:r>
          </w:p>
        </w:tc>
        <w:tc>
          <w:tcPr>
            <w:tcW w:w="5672" w:type="dxa"/>
            <w:shd w:val="clear" w:color="auto" w:fill="auto"/>
          </w:tcPr>
          <w:p w14:paraId="56BBA851" w14:textId="77777777" w:rsidR="005238B0" w:rsidRPr="005238B0" w:rsidRDefault="005238B0" w:rsidP="005238B0">
            <w:pPr>
              <w:rPr>
                <w:rFonts w:eastAsia="Calibri" w:cs="Calibri"/>
                <w:b/>
                <w:bCs/>
              </w:rPr>
            </w:pPr>
            <w:r w:rsidRPr="005238B0">
              <w:rPr>
                <w:b/>
                <w:bCs/>
              </w:rPr>
              <w:t>Emission source</w:t>
            </w:r>
          </w:p>
        </w:tc>
        <w:tc>
          <w:tcPr>
            <w:tcW w:w="1906" w:type="dxa"/>
            <w:shd w:val="clear" w:color="auto" w:fill="auto"/>
          </w:tcPr>
          <w:p w14:paraId="78350736" w14:textId="77777777" w:rsidR="005238B0" w:rsidRPr="005238B0" w:rsidRDefault="005238B0" w:rsidP="005238B0">
            <w:pPr>
              <w:rPr>
                <w:rFonts w:eastAsia="Calibri" w:cs="Calibri"/>
                <w:b/>
                <w:bCs/>
              </w:rPr>
            </w:pPr>
            <w:r w:rsidRPr="005238B0">
              <w:rPr>
                <w:b/>
                <w:bCs/>
              </w:rPr>
              <w:t>t CO</w:t>
            </w:r>
            <w:r w:rsidRPr="005238B0">
              <w:rPr>
                <w:b/>
                <w:bCs/>
                <w:vertAlign w:val="subscript"/>
              </w:rPr>
              <w:t>2</w:t>
            </w:r>
            <w:r w:rsidRPr="005238B0">
              <w:rPr>
                <w:b/>
                <w:bCs/>
              </w:rPr>
              <w:t>-e</w:t>
            </w:r>
          </w:p>
        </w:tc>
      </w:tr>
      <w:tr w:rsidR="005238B0" w:rsidRPr="000D55DB" w14:paraId="48EA909A" w14:textId="77777777" w:rsidTr="005238B0">
        <w:trPr>
          <w:cantSplit/>
          <w:trHeight w:hRule="exact" w:val="264"/>
          <w:tblHeader/>
        </w:trPr>
        <w:tc>
          <w:tcPr>
            <w:tcW w:w="929" w:type="dxa"/>
            <w:shd w:val="clear" w:color="auto" w:fill="auto"/>
          </w:tcPr>
          <w:p w14:paraId="513BA46C" w14:textId="77777777" w:rsidR="005238B0" w:rsidRPr="005238B0" w:rsidRDefault="005238B0" w:rsidP="005238B0">
            <w:pPr>
              <w:rPr>
                <w:rFonts w:eastAsia="Calibri" w:cs="Calibri"/>
              </w:rPr>
            </w:pPr>
            <w:r w:rsidRPr="005238B0">
              <w:t>1</w:t>
            </w:r>
          </w:p>
        </w:tc>
        <w:tc>
          <w:tcPr>
            <w:tcW w:w="5672" w:type="dxa"/>
            <w:shd w:val="clear" w:color="auto" w:fill="auto"/>
            <w:vAlign w:val="bottom"/>
          </w:tcPr>
          <w:p w14:paraId="781F9B32" w14:textId="77777777" w:rsidR="005238B0" w:rsidRPr="000D55DB" w:rsidRDefault="005238B0" w:rsidP="005238B0">
            <w:r w:rsidRPr="000D55DB">
              <w:rPr>
                <w:rFonts w:cs="Arial"/>
                <w:color w:val="000000"/>
              </w:rPr>
              <w:t>Venue Gas</w:t>
            </w:r>
          </w:p>
        </w:tc>
        <w:tc>
          <w:tcPr>
            <w:tcW w:w="1906" w:type="dxa"/>
            <w:shd w:val="clear" w:color="auto" w:fill="auto"/>
            <w:vAlign w:val="bottom"/>
          </w:tcPr>
          <w:p w14:paraId="6F91D6CE" w14:textId="77777777" w:rsidR="005238B0" w:rsidRPr="000D55DB" w:rsidRDefault="005238B0" w:rsidP="005238B0">
            <w:r w:rsidRPr="000D55DB">
              <w:rPr>
                <w:rFonts w:cs="Arial"/>
                <w:color w:val="000000"/>
              </w:rPr>
              <w:t>6.40</w:t>
            </w:r>
          </w:p>
        </w:tc>
      </w:tr>
      <w:tr w:rsidR="005238B0" w:rsidRPr="000D55DB" w14:paraId="5A4E32CF" w14:textId="77777777" w:rsidTr="005238B0">
        <w:trPr>
          <w:cantSplit/>
          <w:trHeight w:hRule="exact" w:val="264"/>
          <w:tblHeader/>
        </w:trPr>
        <w:tc>
          <w:tcPr>
            <w:tcW w:w="929" w:type="dxa"/>
            <w:shd w:val="clear" w:color="auto" w:fill="auto"/>
          </w:tcPr>
          <w:p w14:paraId="69BA2FD8" w14:textId="77777777" w:rsidR="005238B0" w:rsidRPr="005238B0" w:rsidRDefault="005238B0" w:rsidP="005238B0">
            <w:r w:rsidRPr="005238B0">
              <w:t>2</w:t>
            </w:r>
          </w:p>
        </w:tc>
        <w:tc>
          <w:tcPr>
            <w:tcW w:w="5672" w:type="dxa"/>
            <w:shd w:val="clear" w:color="auto" w:fill="auto"/>
            <w:vAlign w:val="bottom"/>
          </w:tcPr>
          <w:p w14:paraId="26CA71BF" w14:textId="77777777" w:rsidR="005238B0" w:rsidRPr="000D55DB" w:rsidRDefault="005238B0" w:rsidP="005238B0">
            <w:pPr>
              <w:rPr>
                <w:rFonts w:cs="Arial"/>
                <w:color w:val="000000"/>
              </w:rPr>
            </w:pPr>
            <w:r w:rsidRPr="0080156D">
              <w:rPr>
                <w:rFonts w:cs="Arial"/>
                <w:color w:val="000000"/>
              </w:rPr>
              <w:t>Purchased Electricity (Carbon Neutral Melbourne Town Hall)</w:t>
            </w:r>
          </w:p>
        </w:tc>
        <w:tc>
          <w:tcPr>
            <w:tcW w:w="1906" w:type="dxa"/>
            <w:shd w:val="clear" w:color="auto" w:fill="auto"/>
            <w:vAlign w:val="bottom"/>
          </w:tcPr>
          <w:p w14:paraId="3F7A8507" w14:textId="77777777" w:rsidR="005238B0" w:rsidRPr="000D55DB" w:rsidRDefault="005238B0" w:rsidP="005238B0">
            <w:pPr>
              <w:rPr>
                <w:rFonts w:cs="Arial"/>
                <w:color w:val="000000"/>
              </w:rPr>
            </w:pPr>
            <w:r>
              <w:rPr>
                <w:rFonts w:cs="Arial"/>
                <w:color w:val="000000"/>
              </w:rPr>
              <w:t>0.00</w:t>
            </w:r>
          </w:p>
        </w:tc>
      </w:tr>
      <w:tr w:rsidR="005238B0" w:rsidRPr="000D55DB" w14:paraId="0B64A246" w14:textId="77777777" w:rsidTr="005238B0">
        <w:trPr>
          <w:cantSplit/>
          <w:trHeight w:hRule="exact" w:val="264"/>
          <w:tblHeader/>
        </w:trPr>
        <w:tc>
          <w:tcPr>
            <w:tcW w:w="929" w:type="dxa"/>
            <w:shd w:val="clear" w:color="auto" w:fill="auto"/>
          </w:tcPr>
          <w:p w14:paraId="0500242B" w14:textId="77777777" w:rsidR="005238B0" w:rsidRPr="005238B0" w:rsidRDefault="005238B0" w:rsidP="005238B0">
            <w:pPr>
              <w:rPr>
                <w:rFonts w:eastAsia="Calibri" w:cs="Calibri"/>
              </w:rPr>
            </w:pPr>
            <w:r w:rsidRPr="005238B0">
              <w:t>2</w:t>
            </w:r>
          </w:p>
        </w:tc>
        <w:tc>
          <w:tcPr>
            <w:tcW w:w="5672" w:type="dxa"/>
            <w:shd w:val="clear" w:color="auto" w:fill="auto"/>
            <w:vAlign w:val="bottom"/>
          </w:tcPr>
          <w:p w14:paraId="7178277C" w14:textId="77777777" w:rsidR="005238B0" w:rsidRPr="000D55DB" w:rsidRDefault="005238B0" w:rsidP="005238B0">
            <w:r w:rsidRPr="000D55DB">
              <w:rPr>
                <w:rFonts w:cs="Arial"/>
                <w:color w:val="000000"/>
              </w:rPr>
              <w:t>Purchased Electricity</w:t>
            </w:r>
          </w:p>
        </w:tc>
        <w:tc>
          <w:tcPr>
            <w:tcW w:w="1906" w:type="dxa"/>
            <w:shd w:val="clear" w:color="auto" w:fill="auto"/>
            <w:vAlign w:val="bottom"/>
          </w:tcPr>
          <w:p w14:paraId="298FC426" w14:textId="77777777" w:rsidR="005238B0" w:rsidRPr="000D55DB" w:rsidRDefault="005238B0" w:rsidP="005238B0">
            <w:r w:rsidRPr="000D55DB">
              <w:rPr>
                <w:rFonts w:cs="Arial"/>
                <w:color w:val="000000"/>
              </w:rPr>
              <w:t>22.54</w:t>
            </w:r>
          </w:p>
        </w:tc>
      </w:tr>
      <w:tr w:rsidR="005238B0" w:rsidRPr="000D55DB" w14:paraId="0F865EC4" w14:textId="77777777" w:rsidTr="005238B0">
        <w:trPr>
          <w:cantSplit/>
          <w:trHeight w:hRule="exact" w:val="264"/>
          <w:tblHeader/>
        </w:trPr>
        <w:tc>
          <w:tcPr>
            <w:tcW w:w="929" w:type="dxa"/>
            <w:shd w:val="clear" w:color="auto" w:fill="auto"/>
          </w:tcPr>
          <w:p w14:paraId="2EB2214F"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02B4B14A" w14:textId="77777777" w:rsidR="005238B0" w:rsidRPr="000D55DB" w:rsidRDefault="005238B0" w:rsidP="005238B0">
            <w:r w:rsidRPr="000D55DB">
              <w:rPr>
                <w:rFonts w:cs="Arial"/>
                <w:color w:val="000000"/>
              </w:rPr>
              <w:t xml:space="preserve">Municipal Solid Waste </w:t>
            </w:r>
          </w:p>
        </w:tc>
        <w:tc>
          <w:tcPr>
            <w:tcW w:w="1906" w:type="dxa"/>
            <w:shd w:val="clear" w:color="auto" w:fill="auto"/>
            <w:vAlign w:val="bottom"/>
          </w:tcPr>
          <w:p w14:paraId="69021256" w14:textId="77777777" w:rsidR="005238B0" w:rsidRPr="000D55DB" w:rsidRDefault="005238B0" w:rsidP="005238B0">
            <w:r w:rsidRPr="000D55DB">
              <w:rPr>
                <w:rFonts w:cs="Arial"/>
                <w:color w:val="000000"/>
              </w:rPr>
              <w:t>17.60</w:t>
            </w:r>
          </w:p>
        </w:tc>
      </w:tr>
      <w:tr w:rsidR="005238B0" w:rsidRPr="00C507D1" w14:paraId="5BBBD0B1" w14:textId="77777777" w:rsidTr="005238B0">
        <w:trPr>
          <w:cantSplit/>
          <w:trHeight w:hRule="exact" w:val="264"/>
          <w:tblHeader/>
        </w:trPr>
        <w:tc>
          <w:tcPr>
            <w:tcW w:w="929" w:type="dxa"/>
            <w:shd w:val="clear" w:color="auto" w:fill="auto"/>
          </w:tcPr>
          <w:p w14:paraId="30EE3070" w14:textId="77777777" w:rsidR="005238B0" w:rsidRPr="005238B0" w:rsidRDefault="005238B0" w:rsidP="005238B0">
            <w:pPr>
              <w:rPr>
                <w:rFonts w:eastAsia="Calibri" w:cs="Calibri"/>
              </w:rPr>
            </w:pPr>
            <w:r w:rsidRPr="005238B0">
              <w:t>3</w:t>
            </w:r>
          </w:p>
        </w:tc>
        <w:tc>
          <w:tcPr>
            <w:tcW w:w="5672" w:type="dxa"/>
            <w:shd w:val="clear" w:color="auto" w:fill="auto"/>
          </w:tcPr>
          <w:p w14:paraId="3CC50B1C" w14:textId="77777777" w:rsidR="005238B0" w:rsidRPr="00C507D1" w:rsidRDefault="005238B0" w:rsidP="005238B0">
            <w:r w:rsidRPr="00C507D1">
              <w:t xml:space="preserve">Comingled </w:t>
            </w:r>
            <w:r>
              <w:t>R</w:t>
            </w:r>
            <w:r w:rsidRPr="00C507D1">
              <w:t>ecycling</w:t>
            </w:r>
          </w:p>
        </w:tc>
        <w:tc>
          <w:tcPr>
            <w:tcW w:w="1906" w:type="dxa"/>
            <w:shd w:val="clear" w:color="auto" w:fill="auto"/>
          </w:tcPr>
          <w:p w14:paraId="6E480384" w14:textId="77777777" w:rsidR="005238B0" w:rsidRPr="00C507D1" w:rsidRDefault="005238B0" w:rsidP="005238B0">
            <w:r w:rsidRPr="00C507D1">
              <w:t>0.00</w:t>
            </w:r>
          </w:p>
        </w:tc>
      </w:tr>
      <w:tr w:rsidR="005238B0" w:rsidRPr="000D55DB" w14:paraId="5BD4D88B" w14:textId="77777777" w:rsidTr="005238B0">
        <w:trPr>
          <w:cantSplit/>
          <w:trHeight w:hRule="exact" w:val="264"/>
          <w:tblHeader/>
        </w:trPr>
        <w:tc>
          <w:tcPr>
            <w:tcW w:w="929" w:type="dxa"/>
            <w:shd w:val="clear" w:color="auto" w:fill="auto"/>
          </w:tcPr>
          <w:p w14:paraId="4F420C50"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33DF3620" w14:textId="77777777" w:rsidR="005238B0" w:rsidRPr="000D55DB" w:rsidRDefault="005238B0" w:rsidP="005238B0">
            <w:r w:rsidRPr="000D55DB">
              <w:rPr>
                <w:rFonts w:cs="Arial"/>
                <w:color w:val="000000"/>
              </w:rPr>
              <w:t xml:space="preserve">Food Waste </w:t>
            </w:r>
          </w:p>
        </w:tc>
        <w:tc>
          <w:tcPr>
            <w:tcW w:w="1906" w:type="dxa"/>
            <w:shd w:val="clear" w:color="auto" w:fill="auto"/>
            <w:vAlign w:val="bottom"/>
          </w:tcPr>
          <w:p w14:paraId="152C3408" w14:textId="77777777" w:rsidR="005238B0" w:rsidRPr="000D55DB" w:rsidRDefault="005238B0" w:rsidP="005238B0">
            <w:r w:rsidRPr="000D55DB">
              <w:rPr>
                <w:rFonts w:cs="Arial"/>
                <w:color w:val="000000"/>
              </w:rPr>
              <w:t>0.23</w:t>
            </w:r>
          </w:p>
        </w:tc>
      </w:tr>
      <w:tr w:rsidR="005238B0" w:rsidRPr="000D55DB" w14:paraId="4879F772" w14:textId="77777777" w:rsidTr="005238B0">
        <w:trPr>
          <w:cantSplit/>
          <w:trHeight w:hRule="exact" w:val="264"/>
          <w:tblHeader/>
        </w:trPr>
        <w:tc>
          <w:tcPr>
            <w:tcW w:w="929" w:type="dxa"/>
            <w:shd w:val="clear" w:color="auto" w:fill="auto"/>
          </w:tcPr>
          <w:p w14:paraId="0F842AD6"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5C6BFB27" w14:textId="77777777" w:rsidR="005238B0" w:rsidRPr="000D55DB" w:rsidRDefault="005238B0" w:rsidP="005238B0">
            <w:r w:rsidRPr="000D55DB">
              <w:rPr>
                <w:rFonts w:cs="Arial"/>
                <w:color w:val="000000"/>
              </w:rPr>
              <w:t>Domestic Flights</w:t>
            </w:r>
          </w:p>
        </w:tc>
        <w:tc>
          <w:tcPr>
            <w:tcW w:w="1906" w:type="dxa"/>
            <w:shd w:val="clear" w:color="auto" w:fill="auto"/>
            <w:vAlign w:val="bottom"/>
          </w:tcPr>
          <w:p w14:paraId="358EF5D7" w14:textId="77777777" w:rsidR="005238B0" w:rsidRPr="000D55DB" w:rsidRDefault="005238B0" w:rsidP="005238B0">
            <w:r w:rsidRPr="000D55DB">
              <w:rPr>
                <w:rFonts w:cs="Arial"/>
                <w:color w:val="000000"/>
              </w:rPr>
              <w:t>6.92</w:t>
            </w:r>
          </w:p>
        </w:tc>
      </w:tr>
      <w:tr w:rsidR="005238B0" w:rsidRPr="000D55DB" w14:paraId="704863D8" w14:textId="77777777" w:rsidTr="005238B0">
        <w:trPr>
          <w:cantSplit/>
          <w:trHeight w:hRule="exact" w:val="264"/>
          <w:tblHeader/>
        </w:trPr>
        <w:tc>
          <w:tcPr>
            <w:tcW w:w="929" w:type="dxa"/>
            <w:shd w:val="clear" w:color="auto" w:fill="auto"/>
          </w:tcPr>
          <w:p w14:paraId="0A16AF0D"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23464903" w14:textId="77777777" w:rsidR="005238B0" w:rsidRPr="000D55DB" w:rsidRDefault="005238B0" w:rsidP="005238B0">
            <w:r w:rsidRPr="000D55DB">
              <w:rPr>
                <w:rFonts w:cs="Arial"/>
                <w:color w:val="000000"/>
              </w:rPr>
              <w:t>International Flights</w:t>
            </w:r>
          </w:p>
        </w:tc>
        <w:tc>
          <w:tcPr>
            <w:tcW w:w="1906" w:type="dxa"/>
            <w:shd w:val="clear" w:color="auto" w:fill="auto"/>
            <w:vAlign w:val="bottom"/>
          </w:tcPr>
          <w:p w14:paraId="5A6BAFE9" w14:textId="77777777" w:rsidR="005238B0" w:rsidRPr="000D55DB" w:rsidRDefault="005238B0" w:rsidP="005238B0">
            <w:r w:rsidRPr="000D55DB">
              <w:rPr>
                <w:rFonts w:cs="Arial"/>
                <w:color w:val="000000"/>
              </w:rPr>
              <w:t>38.64</w:t>
            </w:r>
          </w:p>
        </w:tc>
      </w:tr>
      <w:tr w:rsidR="005238B0" w:rsidRPr="000D55DB" w14:paraId="6807D8B4" w14:textId="77777777" w:rsidTr="005238B0">
        <w:trPr>
          <w:cantSplit/>
          <w:trHeight w:hRule="exact" w:val="264"/>
          <w:tblHeader/>
        </w:trPr>
        <w:tc>
          <w:tcPr>
            <w:tcW w:w="929" w:type="dxa"/>
            <w:shd w:val="clear" w:color="auto" w:fill="auto"/>
          </w:tcPr>
          <w:p w14:paraId="242B4C62"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2C1E0945" w14:textId="77777777" w:rsidR="005238B0" w:rsidRPr="000D55DB" w:rsidRDefault="005238B0" w:rsidP="005238B0">
            <w:r w:rsidRPr="000D55DB">
              <w:rPr>
                <w:rFonts w:cs="Arial"/>
                <w:color w:val="000000"/>
              </w:rPr>
              <w:t>Accommodation</w:t>
            </w:r>
          </w:p>
        </w:tc>
        <w:tc>
          <w:tcPr>
            <w:tcW w:w="1906" w:type="dxa"/>
            <w:shd w:val="clear" w:color="auto" w:fill="auto"/>
            <w:vAlign w:val="bottom"/>
          </w:tcPr>
          <w:p w14:paraId="1756625A" w14:textId="77777777" w:rsidR="005238B0" w:rsidRPr="000D55DB" w:rsidRDefault="005238B0" w:rsidP="005238B0">
            <w:r w:rsidRPr="000D55DB">
              <w:rPr>
                <w:rFonts w:cs="Arial"/>
                <w:color w:val="000000"/>
              </w:rPr>
              <w:t>12.54</w:t>
            </w:r>
          </w:p>
        </w:tc>
      </w:tr>
      <w:tr w:rsidR="005238B0" w:rsidRPr="000D55DB" w14:paraId="326B4635" w14:textId="77777777" w:rsidTr="005238B0">
        <w:trPr>
          <w:cantSplit/>
          <w:trHeight w:hRule="exact" w:val="264"/>
          <w:tblHeader/>
        </w:trPr>
        <w:tc>
          <w:tcPr>
            <w:tcW w:w="929" w:type="dxa"/>
            <w:shd w:val="clear" w:color="auto" w:fill="auto"/>
          </w:tcPr>
          <w:p w14:paraId="10117292"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08650437" w14:textId="77777777" w:rsidR="005238B0" w:rsidRPr="000D55DB" w:rsidRDefault="005238B0" w:rsidP="005238B0">
            <w:r w:rsidRPr="000D55DB">
              <w:rPr>
                <w:rFonts w:cs="Arial"/>
                <w:color w:val="000000"/>
              </w:rPr>
              <w:t>Non-Alcoholic Beverages</w:t>
            </w:r>
          </w:p>
        </w:tc>
        <w:tc>
          <w:tcPr>
            <w:tcW w:w="1906" w:type="dxa"/>
            <w:shd w:val="clear" w:color="auto" w:fill="auto"/>
            <w:vAlign w:val="bottom"/>
          </w:tcPr>
          <w:p w14:paraId="265F55CC" w14:textId="77777777" w:rsidR="005238B0" w:rsidRPr="000D55DB" w:rsidRDefault="005238B0" w:rsidP="005238B0">
            <w:r w:rsidRPr="000D55DB">
              <w:rPr>
                <w:rFonts w:cs="Arial"/>
                <w:color w:val="000000"/>
              </w:rPr>
              <w:t>9.87</w:t>
            </w:r>
          </w:p>
        </w:tc>
      </w:tr>
      <w:tr w:rsidR="005238B0" w:rsidRPr="000D55DB" w14:paraId="01382EE1" w14:textId="77777777" w:rsidTr="005238B0">
        <w:trPr>
          <w:cantSplit/>
          <w:trHeight w:hRule="exact" w:val="264"/>
          <w:tblHeader/>
        </w:trPr>
        <w:tc>
          <w:tcPr>
            <w:tcW w:w="929" w:type="dxa"/>
            <w:shd w:val="clear" w:color="auto" w:fill="auto"/>
          </w:tcPr>
          <w:p w14:paraId="58712396"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076F2483" w14:textId="77777777" w:rsidR="005238B0" w:rsidRPr="000D55DB" w:rsidRDefault="005238B0" w:rsidP="005238B0">
            <w:r w:rsidRPr="000D55DB">
              <w:rPr>
                <w:rFonts w:cs="Arial"/>
                <w:color w:val="000000"/>
              </w:rPr>
              <w:t>Beer</w:t>
            </w:r>
          </w:p>
        </w:tc>
        <w:tc>
          <w:tcPr>
            <w:tcW w:w="1906" w:type="dxa"/>
            <w:shd w:val="clear" w:color="auto" w:fill="auto"/>
            <w:vAlign w:val="bottom"/>
          </w:tcPr>
          <w:p w14:paraId="4DD86219" w14:textId="77777777" w:rsidR="005238B0" w:rsidRPr="000D55DB" w:rsidRDefault="005238B0" w:rsidP="005238B0">
            <w:r w:rsidRPr="000D55DB">
              <w:rPr>
                <w:rFonts w:cs="Arial"/>
                <w:color w:val="000000"/>
              </w:rPr>
              <w:t>27.07</w:t>
            </w:r>
          </w:p>
        </w:tc>
      </w:tr>
      <w:tr w:rsidR="005238B0" w:rsidRPr="000D55DB" w14:paraId="4AFD33A8" w14:textId="77777777" w:rsidTr="005238B0">
        <w:trPr>
          <w:cantSplit/>
          <w:trHeight w:hRule="exact" w:val="264"/>
          <w:tblHeader/>
        </w:trPr>
        <w:tc>
          <w:tcPr>
            <w:tcW w:w="929" w:type="dxa"/>
            <w:shd w:val="clear" w:color="auto" w:fill="auto"/>
          </w:tcPr>
          <w:p w14:paraId="636B2063"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1FC66E14" w14:textId="77777777" w:rsidR="005238B0" w:rsidRPr="000D55DB" w:rsidRDefault="005238B0" w:rsidP="005238B0">
            <w:r w:rsidRPr="000D55DB">
              <w:rPr>
                <w:rFonts w:cs="Arial"/>
                <w:color w:val="000000"/>
              </w:rPr>
              <w:t>Wine &amp; Spirits</w:t>
            </w:r>
          </w:p>
        </w:tc>
        <w:tc>
          <w:tcPr>
            <w:tcW w:w="1906" w:type="dxa"/>
            <w:shd w:val="clear" w:color="auto" w:fill="auto"/>
            <w:vAlign w:val="bottom"/>
          </w:tcPr>
          <w:p w14:paraId="1A79BABA" w14:textId="77777777" w:rsidR="005238B0" w:rsidRPr="000D55DB" w:rsidRDefault="005238B0" w:rsidP="005238B0">
            <w:r w:rsidRPr="000D55DB">
              <w:rPr>
                <w:rFonts w:cs="Arial"/>
                <w:color w:val="000000"/>
              </w:rPr>
              <w:t>14.08</w:t>
            </w:r>
          </w:p>
        </w:tc>
      </w:tr>
      <w:tr w:rsidR="005238B0" w:rsidRPr="000D55DB" w14:paraId="06EB6E87" w14:textId="77777777" w:rsidTr="005238B0">
        <w:trPr>
          <w:cantSplit/>
          <w:trHeight w:hRule="exact" w:val="264"/>
          <w:tblHeader/>
        </w:trPr>
        <w:tc>
          <w:tcPr>
            <w:tcW w:w="929" w:type="dxa"/>
            <w:shd w:val="clear" w:color="auto" w:fill="auto"/>
          </w:tcPr>
          <w:p w14:paraId="6EB395CF"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7A8727F9" w14:textId="77777777" w:rsidR="005238B0" w:rsidRPr="000D55DB" w:rsidRDefault="005238B0" w:rsidP="005238B0">
            <w:r w:rsidRPr="000D55DB">
              <w:rPr>
                <w:rFonts w:cs="Arial"/>
                <w:color w:val="000000"/>
              </w:rPr>
              <w:t>Meal - with red meat</w:t>
            </w:r>
          </w:p>
        </w:tc>
        <w:tc>
          <w:tcPr>
            <w:tcW w:w="1906" w:type="dxa"/>
            <w:shd w:val="clear" w:color="auto" w:fill="auto"/>
            <w:vAlign w:val="bottom"/>
          </w:tcPr>
          <w:p w14:paraId="2E156C60" w14:textId="77777777" w:rsidR="005238B0" w:rsidRPr="000D55DB" w:rsidRDefault="005238B0" w:rsidP="005238B0">
            <w:r w:rsidRPr="000D55DB">
              <w:rPr>
                <w:rFonts w:cs="Arial"/>
                <w:color w:val="000000"/>
              </w:rPr>
              <w:t>8.85</w:t>
            </w:r>
          </w:p>
        </w:tc>
      </w:tr>
      <w:tr w:rsidR="005238B0" w:rsidRPr="000D55DB" w14:paraId="191112EB" w14:textId="77777777" w:rsidTr="005238B0">
        <w:trPr>
          <w:cantSplit/>
          <w:trHeight w:hRule="exact" w:val="264"/>
          <w:tblHeader/>
        </w:trPr>
        <w:tc>
          <w:tcPr>
            <w:tcW w:w="929" w:type="dxa"/>
            <w:shd w:val="clear" w:color="auto" w:fill="auto"/>
          </w:tcPr>
          <w:p w14:paraId="10FBE7BE"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2AF62E6E" w14:textId="77777777" w:rsidR="005238B0" w:rsidRPr="000D55DB" w:rsidRDefault="005238B0" w:rsidP="005238B0">
            <w:r w:rsidRPr="000D55DB">
              <w:rPr>
                <w:rFonts w:cs="Arial"/>
                <w:color w:val="000000"/>
              </w:rPr>
              <w:t>Meal - other</w:t>
            </w:r>
          </w:p>
        </w:tc>
        <w:tc>
          <w:tcPr>
            <w:tcW w:w="1906" w:type="dxa"/>
            <w:shd w:val="clear" w:color="auto" w:fill="auto"/>
            <w:vAlign w:val="bottom"/>
          </w:tcPr>
          <w:p w14:paraId="415FF399" w14:textId="77777777" w:rsidR="005238B0" w:rsidRPr="000D55DB" w:rsidRDefault="005238B0" w:rsidP="005238B0">
            <w:r w:rsidRPr="000D55DB">
              <w:rPr>
                <w:rFonts w:cs="Arial"/>
                <w:color w:val="000000"/>
              </w:rPr>
              <w:t>0.82</w:t>
            </w:r>
          </w:p>
        </w:tc>
      </w:tr>
      <w:tr w:rsidR="005238B0" w:rsidRPr="000D55DB" w14:paraId="25410303" w14:textId="77777777" w:rsidTr="005238B0">
        <w:trPr>
          <w:cantSplit/>
          <w:trHeight w:hRule="exact" w:val="264"/>
          <w:tblHeader/>
        </w:trPr>
        <w:tc>
          <w:tcPr>
            <w:tcW w:w="929" w:type="dxa"/>
            <w:shd w:val="clear" w:color="auto" w:fill="auto"/>
          </w:tcPr>
          <w:p w14:paraId="3F0F8F26"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52F36D1C" w14:textId="77777777" w:rsidR="005238B0" w:rsidRPr="000D55DB" w:rsidRDefault="005238B0" w:rsidP="005238B0">
            <w:r w:rsidRPr="000D55DB">
              <w:rPr>
                <w:rFonts w:cs="Arial"/>
                <w:color w:val="000000"/>
              </w:rPr>
              <w:t>Patron Transport - All Modes</w:t>
            </w:r>
          </w:p>
        </w:tc>
        <w:tc>
          <w:tcPr>
            <w:tcW w:w="1906" w:type="dxa"/>
            <w:shd w:val="clear" w:color="auto" w:fill="auto"/>
            <w:vAlign w:val="bottom"/>
          </w:tcPr>
          <w:p w14:paraId="5FADAFE0" w14:textId="77777777" w:rsidR="005238B0" w:rsidRPr="000D55DB" w:rsidRDefault="005238B0" w:rsidP="005238B0">
            <w:r w:rsidRPr="000D55DB">
              <w:rPr>
                <w:rFonts w:cs="Arial"/>
                <w:color w:val="000000"/>
              </w:rPr>
              <w:t>38.03</w:t>
            </w:r>
          </w:p>
        </w:tc>
      </w:tr>
      <w:tr w:rsidR="005238B0" w:rsidRPr="000D55DB" w14:paraId="6341D237" w14:textId="77777777" w:rsidTr="005238B0">
        <w:trPr>
          <w:cantSplit/>
          <w:trHeight w:hRule="exact" w:val="260"/>
          <w:tblHeader/>
        </w:trPr>
        <w:tc>
          <w:tcPr>
            <w:tcW w:w="929" w:type="dxa"/>
            <w:shd w:val="clear" w:color="auto" w:fill="auto"/>
          </w:tcPr>
          <w:p w14:paraId="4A1D4D60" w14:textId="77777777" w:rsidR="005238B0" w:rsidRPr="005238B0" w:rsidRDefault="005238B0" w:rsidP="005238B0">
            <w:pPr>
              <w:rPr>
                <w:rFonts w:eastAsia="Calibri" w:cs="Calibri"/>
              </w:rPr>
            </w:pPr>
            <w:r w:rsidRPr="005238B0">
              <w:t>3</w:t>
            </w:r>
          </w:p>
        </w:tc>
        <w:tc>
          <w:tcPr>
            <w:tcW w:w="5672" w:type="dxa"/>
            <w:shd w:val="clear" w:color="auto" w:fill="auto"/>
            <w:vAlign w:val="bottom"/>
          </w:tcPr>
          <w:p w14:paraId="612E3A0F" w14:textId="77777777" w:rsidR="005238B0" w:rsidRPr="000D55DB" w:rsidRDefault="005238B0" w:rsidP="005238B0">
            <w:pPr>
              <w:rPr>
                <w:rFonts w:eastAsia="Calibri" w:cs="Calibri"/>
              </w:rPr>
            </w:pPr>
            <w:r w:rsidRPr="000D55DB">
              <w:rPr>
                <w:rFonts w:cs="Arial"/>
                <w:color w:val="000000"/>
              </w:rPr>
              <w:t>Tier Three - Out of Scope Events</w:t>
            </w:r>
          </w:p>
        </w:tc>
        <w:tc>
          <w:tcPr>
            <w:tcW w:w="1906" w:type="dxa"/>
            <w:shd w:val="clear" w:color="auto" w:fill="auto"/>
            <w:vAlign w:val="bottom"/>
          </w:tcPr>
          <w:p w14:paraId="457637A7" w14:textId="77777777" w:rsidR="005238B0" w:rsidRPr="000D55DB" w:rsidRDefault="005238B0" w:rsidP="005238B0">
            <w:pPr>
              <w:rPr>
                <w:rFonts w:eastAsia="Calibri" w:cs="Calibri"/>
              </w:rPr>
            </w:pPr>
            <w:r w:rsidRPr="000D55DB">
              <w:rPr>
                <w:rFonts w:cs="Arial"/>
                <w:color w:val="000000"/>
              </w:rPr>
              <w:t>40.72</w:t>
            </w:r>
          </w:p>
        </w:tc>
      </w:tr>
      <w:bookmarkEnd w:id="29"/>
    </w:tbl>
    <w:p w14:paraId="1CB79212" w14:textId="77777777" w:rsidR="005238B0" w:rsidRPr="005238B0" w:rsidRDefault="005238B0" w:rsidP="005238B0"/>
    <w:tbl>
      <w:tblPr>
        <w:tblW w:w="85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01"/>
        <w:gridCol w:w="1906"/>
      </w:tblGrid>
      <w:tr w:rsidR="005238B0" w:rsidRPr="000D55DB" w14:paraId="4D53E7C6" w14:textId="77777777" w:rsidTr="005238B0">
        <w:trPr>
          <w:trHeight w:hRule="exact" w:val="244"/>
        </w:trPr>
        <w:tc>
          <w:tcPr>
            <w:tcW w:w="6601" w:type="dxa"/>
            <w:shd w:val="clear" w:color="auto" w:fill="auto"/>
          </w:tcPr>
          <w:p w14:paraId="07F603C3" w14:textId="77777777" w:rsidR="005238B0" w:rsidRPr="005238B0" w:rsidRDefault="005238B0" w:rsidP="005238B0">
            <w:pPr>
              <w:rPr>
                <w:rFonts w:eastAsia="Calibri" w:cs="Calibri"/>
                <w:b/>
                <w:bCs/>
              </w:rPr>
            </w:pPr>
            <w:bookmarkStart w:id="30" w:name="RowTitle_Summary_Music_Week_2018"/>
            <w:r w:rsidRPr="005238B0">
              <w:rPr>
                <w:b/>
                <w:bCs/>
              </w:rPr>
              <w:t>Total Gross Emissions</w:t>
            </w:r>
          </w:p>
        </w:tc>
        <w:tc>
          <w:tcPr>
            <w:tcW w:w="1906" w:type="dxa"/>
            <w:vAlign w:val="center"/>
          </w:tcPr>
          <w:p w14:paraId="03FAF349" w14:textId="77777777" w:rsidR="005238B0" w:rsidRPr="000D55DB" w:rsidRDefault="005238B0" w:rsidP="005238B0">
            <w:pPr>
              <w:ind w:right="284"/>
            </w:pPr>
            <w:r w:rsidRPr="000D55DB">
              <w:t>244.32</w:t>
            </w:r>
          </w:p>
        </w:tc>
      </w:tr>
      <w:tr w:rsidR="005238B0" w:rsidRPr="000D55DB" w14:paraId="7EC391DC" w14:textId="77777777" w:rsidTr="005238B0">
        <w:trPr>
          <w:trHeight w:hRule="exact" w:val="290"/>
        </w:trPr>
        <w:tc>
          <w:tcPr>
            <w:tcW w:w="6601" w:type="dxa"/>
            <w:shd w:val="clear" w:color="auto" w:fill="auto"/>
          </w:tcPr>
          <w:p w14:paraId="26EF6FDF" w14:textId="77777777" w:rsidR="005238B0" w:rsidRPr="005238B0" w:rsidRDefault="005238B0" w:rsidP="005238B0">
            <w:pPr>
              <w:rPr>
                <w:rFonts w:eastAsia="Calibri" w:cs="Calibri"/>
                <w:b/>
                <w:bCs/>
              </w:rPr>
            </w:pPr>
            <w:r w:rsidRPr="005238B0">
              <w:rPr>
                <w:b/>
                <w:bCs/>
              </w:rPr>
              <w:t>GreenPower or retired LGCs</w:t>
            </w:r>
          </w:p>
        </w:tc>
        <w:tc>
          <w:tcPr>
            <w:tcW w:w="1906" w:type="dxa"/>
            <w:vAlign w:val="center"/>
          </w:tcPr>
          <w:p w14:paraId="4AA388CA" w14:textId="77777777" w:rsidR="005238B0" w:rsidRPr="000D55DB" w:rsidRDefault="005238B0" w:rsidP="005238B0">
            <w:pPr>
              <w:ind w:right="284"/>
            </w:pPr>
            <w:r>
              <w:t>0</w:t>
            </w:r>
          </w:p>
        </w:tc>
      </w:tr>
      <w:tr w:rsidR="005238B0" w:rsidRPr="00991466" w14:paraId="05F2E483" w14:textId="77777777" w:rsidTr="005E15C2">
        <w:trPr>
          <w:trHeight w:hRule="exact" w:val="280"/>
        </w:trPr>
        <w:tc>
          <w:tcPr>
            <w:tcW w:w="6601" w:type="dxa"/>
            <w:shd w:val="clear" w:color="auto" w:fill="auto"/>
          </w:tcPr>
          <w:p w14:paraId="2FBF9504" w14:textId="77777777" w:rsidR="005238B0" w:rsidRPr="005238B0" w:rsidRDefault="005238B0" w:rsidP="005238B0">
            <w:pPr>
              <w:rPr>
                <w:rFonts w:eastAsia="Calibri" w:cs="Calibri"/>
                <w:b/>
                <w:bCs/>
              </w:rPr>
            </w:pPr>
            <w:r w:rsidRPr="005238B0">
              <w:rPr>
                <w:b/>
                <w:bCs/>
              </w:rPr>
              <w:t>Total Net Emissions</w:t>
            </w:r>
          </w:p>
        </w:tc>
        <w:tc>
          <w:tcPr>
            <w:tcW w:w="1906" w:type="dxa"/>
            <w:vAlign w:val="center"/>
          </w:tcPr>
          <w:p w14:paraId="63C48A1A" w14:textId="77777777" w:rsidR="005238B0" w:rsidRPr="00991466" w:rsidRDefault="005238B0" w:rsidP="005238B0">
            <w:pPr>
              <w:ind w:right="284"/>
            </w:pPr>
            <w:r w:rsidRPr="000D55DB">
              <w:t>244.32</w:t>
            </w:r>
          </w:p>
        </w:tc>
      </w:tr>
    </w:tbl>
    <w:p w14:paraId="2532D45F" w14:textId="044C2EE8" w:rsidR="005238B0" w:rsidRDefault="005E15C2" w:rsidP="005E15C2">
      <w:pPr>
        <w:pStyle w:val="Heading3"/>
      </w:pPr>
      <w:bookmarkStart w:id="31" w:name="_Toc14679656"/>
      <w:bookmarkEnd w:id="30"/>
      <w:r>
        <w:t>Table 3 – True up of Emissions</w:t>
      </w:r>
      <w:bookmarkEnd w:id="31"/>
    </w:p>
    <w:tbl>
      <w:tblPr>
        <w:tblW w:w="8507" w:type="dxa"/>
        <w:tblInd w:w="-6" w:type="dxa"/>
        <w:tblLayout w:type="fixed"/>
        <w:tblCellMar>
          <w:left w:w="0" w:type="dxa"/>
          <w:right w:w="0" w:type="dxa"/>
        </w:tblCellMar>
        <w:tblLook w:val="01E0" w:firstRow="1" w:lastRow="1" w:firstColumn="1" w:lastColumn="1" w:noHBand="0" w:noVBand="0"/>
      </w:tblPr>
      <w:tblGrid>
        <w:gridCol w:w="4680"/>
        <w:gridCol w:w="3827"/>
      </w:tblGrid>
      <w:tr w:rsidR="005E15C2" w:rsidRPr="001244B0" w14:paraId="03484D95" w14:textId="77777777" w:rsidTr="005E15C2">
        <w:trPr>
          <w:trHeight w:hRule="exact" w:val="297"/>
        </w:trPr>
        <w:tc>
          <w:tcPr>
            <w:tcW w:w="46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4092FD" w14:textId="77777777" w:rsidR="005E15C2" w:rsidRPr="005E15C2" w:rsidRDefault="005E15C2" w:rsidP="005E15C2">
            <w:pPr>
              <w:rPr>
                <w:rFonts w:eastAsia="Calibri" w:cs="Calibri"/>
                <w:b/>
                <w:bCs/>
                <w:szCs w:val="20"/>
              </w:rPr>
            </w:pPr>
            <w:r w:rsidRPr="005E15C2">
              <w:rPr>
                <w:b/>
                <w:bCs/>
              </w:rPr>
              <w:t>Emissions</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53CF66" w14:textId="77777777" w:rsidR="005E15C2" w:rsidRPr="005E15C2" w:rsidRDefault="005E15C2" w:rsidP="005E15C2">
            <w:pPr>
              <w:rPr>
                <w:rFonts w:eastAsia="Calibri" w:cs="Calibri"/>
                <w:b/>
                <w:bCs/>
                <w:szCs w:val="20"/>
              </w:rPr>
            </w:pPr>
            <w:r w:rsidRPr="005E15C2">
              <w:rPr>
                <w:b/>
                <w:bCs/>
              </w:rPr>
              <w:t>t</w:t>
            </w:r>
            <w:r w:rsidRPr="005E15C2">
              <w:rPr>
                <w:rFonts w:eastAsia="Calibri" w:cs="Calibri"/>
                <w:b/>
                <w:bCs/>
                <w:szCs w:val="20"/>
              </w:rPr>
              <w:t xml:space="preserve"> CO</w:t>
            </w:r>
            <w:r w:rsidRPr="005E15C2">
              <w:rPr>
                <w:rFonts w:eastAsia="Calibri" w:cs="Calibri"/>
                <w:b/>
                <w:bCs/>
                <w:szCs w:val="20"/>
                <w:vertAlign w:val="subscript"/>
              </w:rPr>
              <w:t>2</w:t>
            </w:r>
            <w:r w:rsidRPr="005E15C2">
              <w:rPr>
                <w:rFonts w:eastAsia="Calibri" w:cs="Calibri"/>
                <w:b/>
                <w:bCs/>
                <w:szCs w:val="20"/>
              </w:rPr>
              <w:t>-e</w:t>
            </w:r>
          </w:p>
        </w:tc>
      </w:tr>
      <w:tr w:rsidR="005E15C2" w:rsidRPr="001244B0" w14:paraId="035A2190" w14:textId="77777777" w:rsidTr="005E15C2">
        <w:trPr>
          <w:trHeight w:hRule="exact" w:val="273"/>
        </w:trPr>
        <w:tc>
          <w:tcPr>
            <w:tcW w:w="4680" w:type="dxa"/>
            <w:tcBorders>
              <w:top w:val="single" w:sz="5" w:space="0" w:color="000000"/>
              <w:left w:val="single" w:sz="5" w:space="0" w:color="000000"/>
              <w:bottom w:val="single" w:sz="5" w:space="0" w:color="000000"/>
              <w:right w:val="single" w:sz="5" w:space="0" w:color="000000"/>
            </w:tcBorders>
            <w:vAlign w:val="center"/>
          </w:tcPr>
          <w:p w14:paraId="07D4F239" w14:textId="77777777" w:rsidR="005E15C2" w:rsidRPr="001244B0" w:rsidRDefault="005E15C2" w:rsidP="005E15C2">
            <w:pPr>
              <w:rPr>
                <w:rFonts w:eastAsia="Calibri" w:cs="Calibri"/>
                <w:szCs w:val="20"/>
              </w:rPr>
            </w:pPr>
            <w:r w:rsidRPr="001244B0">
              <w:rPr>
                <w:szCs w:val="20"/>
              </w:rPr>
              <w:t xml:space="preserve">Pre-event estimate of carbon account </w:t>
            </w:r>
          </w:p>
        </w:tc>
        <w:tc>
          <w:tcPr>
            <w:tcW w:w="3827" w:type="dxa"/>
            <w:tcBorders>
              <w:top w:val="single" w:sz="5" w:space="0" w:color="000000"/>
              <w:left w:val="single" w:sz="5" w:space="0" w:color="000000"/>
              <w:bottom w:val="single" w:sz="5" w:space="0" w:color="000000"/>
              <w:right w:val="single" w:sz="5" w:space="0" w:color="000000"/>
            </w:tcBorders>
            <w:vAlign w:val="center"/>
          </w:tcPr>
          <w:p w14:paraId="0F5D24D1" w14:textId="77777777" w:rsidR="005E15C2" w:rsidRPr="001244B0" w:rsidRDefault="005E15C2" w:rsidP="005E15C2">
            <w:pPr>
              <w:rPr>
                <w:szCs w:val="20"/>
              </w:rPr>
            </w:pPr>
            <w:r w:rsidRPr="00951CBA">
              <w:rPr>
                <w:b/>
                <w:color w:val="000000" w:themeColor="text1"/>
              </w:rPr>
              <w:t>992.97</w:t>
            </w:r>
          </w:p>
        </w:tc>
      </w:tr>
      <w:tr w:rsidR="005E15C2" w:rsidRPr="001244B0" w14:paraId="338A9BED" w14:textId="77777777" w:rsidTr="005E15C2">
        <w:trPr>
          <w:trHeight w:hRule="exact" w:val="297"/>
        </w:trPr>
        <w:tc>
          <w:tcPr>
            <w:tcW w:w="4680" w:type="dxa"/>
            <w:tcBorders>
              <w:top w:val="single" w:sz="5" w:space="0" w:color="000000"/>
              <w:left w:val="single" w:sz="5" w:space="0" w:color="000000"/>
              <w:bottom w:val="single" w:sz="5" w:space="0" w:color="000000"/>
              <w:right w:val="single" w:sz="5" w:space="0" w:color="000000"/>
            </w:tcBorders>
            <w:vAlign w:val="center"/>
          </w:tcPr>
          <w:p w14:paraId="33C64C05" w14:textId="77777777" w:rsidR="005E15C2" w:rsidRPr="001244B0" w:rsidRDefault="005E15C2" w:rsidP="005E15C2">
            <w:pPr>
              <w:rPr>
                <w:rFonts w:eastAsia="Calibri" w:cs="Calibri"/>
                <w:szCs w:val="20"/>
              </w:rPr>
            </w:pPr>
            <w:r w:rsidRPr="001244B0">
              <w:rPr>
                <w:szCs w:val="20"/>
              </w:rPr>
              <w:t>Post-event carbon account</w:t>
            </w:r>
          </w:p>
        </w:tc>
        <w:tc>
          <w:tcPr>
            <w:tcW w:w="3827" w:type="dxa"/>
            <w:tcBorders>
              <w:top w:val="single" w:sz="5" w:space="0" w:color="000000"/>
              <w:left w:val="single" w:sz="5" w:space="0" w:color="000000"/>
              <w:bottom w:val="single" w:sz="5" w:space="0" w:color="000000"/>
              <w:right w:val="single" w:sz="5" w:space="0" w:color="000000"/>
            </w:tcBorders>
            <w:vAlign w:val="center"/>
          </w:tcPr>
          <w:p w14:paraId="595F2E93" w14:textId="77777777" w:rsidR="005E15C2" w:rsidRPr="001244B0" w:rsidRDefault="005E15C2" w:rsidP="005E15C2">
            <w:pPr>
              <w:rPr>
                <w:szCs w:val="20"/>
              </w:rPr>
            </w:pPr>
            <w:r w:rsidRPr="00951CBA">
              <w:rPr>
                <w:b/>
                <w:color w:val="000000" w:themeColor="text1"/>
              </w:rPr>
              <w:t>772.34</w:t>
            </w:r>
          </w:p>
        </w:tc>
      </w:tr>
    </w:tbl>
    <w:p w14:paraId="79B03971" w14:textId="40CEB382" w:rsidR="005E15C2" w:rsidRDefault="005E15C2" w:rsidP="005E15C2"/>
    <w:tbl>
      <w:tblPr>
        <w:tblW w:w="8507" w:type="dxa"/>
        <w:tblInd w:w="-6" w:type="dxa"/>
        <w:tblLayout w:type="fixed"/>
        <w:tblCellMar>
          <w:left w:w="0" w:type="dxa"/>
          <w:right w:w="0" w:type="dxa"/>
        </w:tblCellMar>
        <w:tblLook w:val="01E0" w:firstRow="1" w:lastRow="1" w:firstColumn="1" w:lastColumn="1" w:noHBand="0" w:noVBand="0"/>
      </w:tblPr>
      <w:tblGrid>
        <w:gridCol w:w="4680"/>
        <w:gridCol w:w="3827"/>
      </w:tblGrid>
      <w:tr w:rsidR="005E15C2" w:rsidRPr="001244B0" w14:paraId="1548033F" w14:textId="77777777" w:rsidTr="005E15C2">
        <w:trPr>
          <w:trHeight w:hRule="exact" w:val="373"/>
        </w:trPr>
        <w:tc>
          <w:tcPr>
            <w:tcW w:w="46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66C397" w14:textId="77777777" w:rsidR="005E15C2" w:rsidRPr="005E15C2" w:rsidRDefault="005E15C2" w:rsidP="005E15C2">
            <w:pPr>
              <w:rPr>
                <w:b/>
                <w:bCs/>
                <w:szCs w:val="20"/>
              </w:rPr>
            </w:pPr>
            <w:bookmarkStart w:id="32" w:name="RowTitle_True_Up_Emissions"/>
            <w:r w:rsidRPr="005E15C2">
              <w:rPr>
                <w:b/>
                <w:bCs/>
              </w:rPr>
              <w:t>Difference between accounts</w:t>
            </w:r>
          </w:p>
        </w:tc>
        <w:tc>
          <w:tcPr>
            <w:tcW w:w="3827" w:type="dxa"/>
            <w:tcBorders>
              <w:top w:val="single" w:sz="5" w:space="0" w:color="000000"/>
              <w:left w:val="single" w:sz="5" w:space="0" w:color="000000"/>
              <w:bottom w:val="single" w:sz="5" w:space="0" w:color="000000"/>
              <w:right w:val="single" w:sz="5" w:space="0" w:color="000000"/>
            </w:tcBorders>
            <w:vAlign w:val="center"/>
          </w:tcPr>
          <w:p w14:paraId="286A68ED" w14:textId="77777777" w:rsidR="005E15C2" w:rsidRPr="001244B0" w:rsidRDefault="005E15C2" w:rsidP="005E15C2">
            <w:pPr>
              <w:rPr>
                <w:szCs w:val="20"/>
              </w:rPr>
            </w:pPr>
            <w:r w:rsidRPr="00951CBA">
              <w:rPr>
                <w:color w:val="000000" w:themeColor="text1"/>
              </w:rPr>
              <w:t>220.63</w:t>
            </w:r>
          </w:p>
        </w:tc>
      </w:tr>
      <w:bookmarkEnd w:id="32"/>
    </w:tbl>
    <w:p w14:paraId="54C956E5" w14:textId="1DC40A44" w:rsidR="005E15C2" w:rsidRDefault="005E15C2" w:rsidP="005E15C2"/>
    <w:p w14:paraId="4AE60E66" w14:textId="77777777" w:rsidR="005E15C2" w:rsidRDefault="005E15C2">
      <w:pPr>
        <w:spacing w:line="280" w:lineRule="exact"/>
        <w:sectPr w:rsidR="005E15C2">
          <w:pgSz w:w="11906" w:h="16838"/>
          <w:pgMar w:top="1440" w:right="1440" w:bottom="1440" w:left="1440" w:header="708" w:footer="708" w:gutter="0"/>
          <w:cols w:space="708"/>
          <w:docGrid w:linePitch="360"/>
        </w:sectPr>
      </w:pPr>
    </w:p>
    <w:p w14:paraId="521AAD3A" w14:textId="677D8978" w:rsidR="005E15C2" w:rsidRDefault="005E15C2" w:rsidP="005E15C2">
      <w:pPr>
        <w:pStyle w:val="Heading2"/>
      </w:pPr>
      <w:bookmarkStart w:id="33" w:name="_Toc14679657"/>
      <w:r>
        <w:lastRenderedPageBreak/>
        <w:t>Eligible offset units</w:t>
      </w:r>
      <w:bookmarkEnd w:id="33"/>
    </w:p>
    <w:p w14:paraId="560FAAD7" w14:textId="4F418B1E" w:rsidR="005E15C2" w:rsidRDefault="005E15C2" w:rsidP="005E15C2">
      <w:pPr>
        <w:pStyle w:val="Heading3"/>
      </w:pPr>
      <w:bookmarkStart w:id="34" w:name="_Toc14679658"/>
      <w:r>
        <w:t>4A.</w:t>
      </w:r>
      <w:r>
        <w:tab/>
        <w:t>Offsets summary</w:t>
      </w:r>
      <w:bookmarkEnd w:id="34"/>
    </w:p>
    <w:p w14:paraId="2082D15F" w14:textId="2D9FDC46" w:rsidR="005E15C2" w:rsidRDefault="005E15C2" w:rsidP="005E15C2">
      <w:pPr>
        <w:pStyle w:val="Heading4"/>
      </w:pPr>
      <w:r>
        <w:t>Table 4 – Offsets Summary</w:t>
      </w:r>
    </w:p>
    <w:p w14:paraId="68D23182" w14:textId="14FBAEF7" w:rsidR="005E15C2" w:rsidRDefault="005E15C2" w:rsidP="005E15C2">
      <w:pPr>
        <w:pStyle w:val="Heading5"/>
      </w:pPr>
      <w:r w:rsidRPr="005E15C2">
        <w:t>Pre-event offset summary</w:t>
      </w:r>
    </w:p>
    <w:tbl>
      <w:tblPr>
        <w:tblStyle w:val="TableGrid1"/>
        <w:tblW w:w="5004" w:type="pct"/>
        <w:tblLayout w:type="fixed"/>
        <w:tblLook w:val="04A0" w:firstRow="1" w:lastRow="0" w:firstColumn="1" w:lastColumn="0" w:noHBand="0" w:noVBand="1"/>
      </w:tblPr>
      <w:tblGrid>
        <w:gridCol w:w="3399"/>
        <w:gridCol w:w="1331"/>
        <w:gridCol w:w="1336"/>
        <w:gridCol w:w="1628"/>
        <w:gridCol w:w="3402"/>
        <w:gridCol w:w="1200"/>
        <w:gridCol w:w="1889"/>
      </w:tblGrid>
      <w:tr w:rsidR="005E15C2" w:rsidRPr="008A703F" w14:paraId="2A4CF8CB" w14:textId="77777777" w:rsidTr="005E15C2">
        <w:trPr>
          <w:cantSplit/>
          <w:trHeight w:val="704"/>
          <w:tblHeader/>
        </w:trPr>
        <w:tc>
          <w:tcPr>
            <w:tcW w:w="1198" w:type="pct"/>
            <w:shd w:val="clear" w:color="auto" w:fill="auto"/>
          </w:tcPr>
          <w:p w14:paraId="2672C041" w14:textId="77777777" w:rsidR="005E15C2" w:rsidRPr="005E15C2" w:rsidRDefault="005E15C2" w:rsidP="005E15C2">
            <w:pPr>
              <w:spacing w:before="0"/>
              <w:rPr>
                <w:b/>
                <w:bCs/>
              </w:rPr>
            </w:pPr>
            <w:bookmarkStart w:id="35" w:name="ColumnTitle_PreEvent_Offset_Summary"/>
            <w:r w:rsidRPr="005E15C2">
              <w:rPr>
                <w:b/>
                <w:bCs/>
              </w:rPr>
              <w:t xml:space="preserve">Projects supported by offset purchase  </w:t>
            </w:r>
          </w:p>
        </w:tc>
        <w:tc>
          <w:tcPr>
            <w:tcW w:w="469" w:type="pct"/>
            <w:shd w:val="clear" w:color="auto" w:fill="auto"/>
            <w:hideMark/>
          </w:tcPr>
          <w:p w14:paraId="1B464327" w14:textId="77777777" w:rsidR="005E15C2" w:rsidRPr="005E15C2" w:rsidRDefault="005E15C2" w:rsidP="005E15C2">
            <w:pPr>
              <w:spacing w:before="0"/>
              <w:rPr>
                <w:b/>
                <w:bCs/>
              </w:rPr>
            </w:pPr>
            <w:r w:rsidRPr="005E15C2">
              <w:rPr>
                <w:b/>
                <w:bCs/>
              </w:rPr>
              <w:t xml:space="preserve">Eligible offset units  </w:t>
            </w:r>
          </w:p>
        </w:tc>
        <w:tc>
          <w:tcPr>
            <w:tcW w:w="471" w:type="pct"/>
            <w:shd w:val="clear" w:color="auto" w:fill="auto"/>
          </w:tcPr>
          <w:p w14:paraId="718ADD5C" w14:textId="77777777" w:rsidR="005E15C2" w:rsidRPr="005E15C2" w:rsidRDefault="005E15C2" w:rsidP="005E15C2">
            <w:pPr>
              <w:spacing w:before="0"/>
              <w:rPr>
                <w:b/>
                <w:bCs/>
              </w:rPr>
            </w:pPr>
            <w:r w:rsidRPr="005E15C2">
              <w:rPr>
                <w:b/>
                <w:bCs/>
              </w:rPr>
              <w:t>Registry</w:t>
            </w:r>
          </w:p>
        </w:tc>
        <w:tc>
          <w:tcPr>
            <w:tcW w:w="574" w:type="pct"/>
            <w:shd w:val="clear" w:color="auto" w:fill="auto"/>
          </w:tcPr>
          <w:p w14:paraId="775AFEBA" w14:textId="77777777" w:rsidR="005E15C2" w:rsidRPr="005E15C2" w:rsidRDefault="005E15C2" w:rsidP="005E15C2">
            <w:pPr>
              <w:spacing w:before="0"/>
              <w:rPr>
                <w:b/>
                <w:bCs/>
              </w:rPr>
            </w:pPr>
            <w:r w:rsidRPr="005E15C2">
              <w:rPr>
                <w:b/>
                <w:bCs/>
              </w:rPr>
              <w:t>Cancellation date</w:t>
            </w:r>
          </w:p>
        </w:tc>
        <w:tc>
          <w:tcPr>
            <w:tcW w:w="1199" w:type="pct"/>
            <w:shd w:val="clear" w:color="auto" w:fill="auto"/>
          </w:tcPr>
          <w:p w14:paraId="78EB282B" w14:textId="77777777" w:rsidR="005E15C2" w:rsidRPr="005E15C2" w:rsidRDefault="005E15C2" w:rsidP="005E15C2">
            <w:pPr>
              <w:spacing w:before="0"/>
              <w:rPr>
                <w:b/>
                <w:bCs/>
              </w:rPr>
            </w:pPr>
            <w:r w:rsidRPr="005E15C2">
              <w:rPr>
                <w:b/>
                <w:bCs/>
                <w:lang w:val="en-US"/>
              </w:rPr>
              <w:t>Serial numbers</w:t>
            </w:r>
            <w:r w:rsidRPr="005E15C2" w:rsidDel="004748DF">
              <w:rPr>
                <w:b/>
                <w:bCs/>
                <w:lang w:val="en-US"/>
              </w:rPr>
              <w:t xml:space="preserve"> </w:t>
            </w:r>
            <w:r w:rsidRPr="005E15C2">
              <w:rPr>
                <w:b/>
                <w:bCs/>
                <w:lang w:val="en-US"/>
              </w:rPr>
              <w:t>(including hyperlink to registry transaction record)</w:t>
            </w:r>
          </w:p>
        </w:tc>
        <w:tc>
          <w:tcPr>
            <w:tcW w:w="423" w:type="pct"/>
            <w:shd w:val="clear" w:color="auto" w:fill="auto"/>
          </w:tcPr>
          <w:p w14:paraId="7070EA89" w14:textId="77777777" w:rsidR="005E15C2" w:rsidRPr="005E15C2" w:rsidRDefault="005E15C2" w:rsidP="005E15C2">
            <w:pPr>
              <w:spacing w:before="0"/>
              <w:rPr>
                <w:b/>
                <w:bCs/>
              </w:rPr>
            </w:pPr>
            <w:r w:rsidRPr="005E15C2">
              <w:rPr>
                <w:b/>
                <w:bCs/>
              </w:rPr>
              <w:t>Vintage</w:t>
            </w:r>
          </w:p>
        </w:tc>
        <w:tc>
          <w:tcPr>
            <w:tcW w:w="666" w:type="pct"/>
            <w:shd w:val="clear" w:color="auto" w:fill="auto"/>
            <w:hideMark/>
          </w:tcPr>
          <w:p w14:paraId="36E27FC8" w14:textId="77777777" w:rsidR="005E15C2" w:rsidRPr="005E15C2" w:rsidRDefault="005E15C2" w:rsidP="005E15C2">
            <w:pPr>
              <w:spacing w:before="0"/>
              <w:rPr>
                <w:b/>
                <w:bCs/>
              </w:rPr>
            </w:pPr>
            <w:r w:rsidRPr="005E15C2">
              <w:rPr>
                <w:b/>
                <w:bCs/>
              </w:rPr>
              <w:t>Quantity</w:t>
            </w:r>
          </w:p>
        </w:tc>
      </w:tr>
      <w:tr w:rsidR="005E15C2" w:rsidRPr="0062338F" w14:paraId="61B2D066" w14:textId="77777777" w:rsidTr="005E15C2">
        <w:trPr>
          <w:cantSplit/>
          <w:tblHeader/>
        </w:trPr>
        <w:tc>
          <w:tcPr>
            <w:tcW w:w="1198" w:type="pct"/>
            <w:tcBorders>
              <w:bottom w:val="single" w:sz="4" w:space="0" w:color="auto"/>
            </w:tcBorders>
            <w:shd w:val="clear" w:color="auto" w:fill="auto"/>
          </w:tcPr>
          <w:p w14:paraId="65F1551E" w14:textId="77777777" w:rsidR="005E15C2" w:rsidRPr="0062338F" w:rsidRDefault="005E15C2" w:rsidP="005E15C2">
            <w:pPr>
              <w:spacing w:before="0"/>
              <w:rPr>
                <w:rFonts w:cs="Arial"/>
                <w:color w:val="000000"/>
              </w:rPr>
            </w:pPr>
            <w:r w:rsidRPr="0062338F">
              <w:rPr>
                <w:rFonts w:cs="Arial"/>
                <w:color w:val="000000"/>
              </w:rPr>
              <w:t>S</w:t>
            </w:r>
            <w:r w:rsidRPr="001D47AE">
              <w:rPr>
                <w:rFonts w:cs="Arial"/>
                <w:color w:val="000000"/>
              </w:rPr>
              <w:t xml:space="preserve">avannah burning project in Western Australia </w:t>
            </w:r>
          </w:p>
        </w:tc>
        <w:tc>
          <w:tcPr>
            <w:tcW w:w="469" w:type="pct"/>
            <w:tcBorders>
              <w:bottom w:val="single" w:sz="4" w:space="0" w:color="auto"/>
            </w:tcBorders>
            <w:shd w:val="clear" w:color="auto" w:fill="auto"/>
          </w:tcPr>
          <w:p w14:paraId="765B43C6" w14:textId="77777777" w:rsidR="005E15C2" w:rsidRPr="001D47AE" w:rsidRDefault="005E15C2" w:rsidP="005E15C2">
            <w:pPr>
              <w:spacing w:before="0"/>
              <w:rPr>
                <w:rFonts w:cs="Arial"/>
                <w:color w:val="000000" w:themeColor="text1"/>
              </w:rPr>
            </w:pPr>
            <w:r w:rsidRPr="001D47AE">
              <w:rPr>
                <w:color w:val="000000" w:themeColor="text1"/>
              </w:rPr>
              <w:t>ACCU</w:t>
            </w:r>
          </w:p>
        </w:tc>
        <w:tc>
          <w:tcPr>
            <w:tcW w:w="471" w:type="pct"/>
            <w:shd w:val="clear" w:color="auto" w:fill="auto"/>
          </w:tcPr>
          <w:p w14:paraId="26440801" w14:textId="77777777" w:rsidR="005E15C2" w:rsidRPr="001D47AE" w:rsidRDefault="005E15C2" w:rsidP="005E15C2">
            <w:pPr>
              <w:spacing w:before="0"/>
              <w:rPr>
                <w:rFonts w:cs="Arial"/>
                <w:color w:val="000000" w:themeColor="text1"/>
              </w:rPr>
            </w:pPr>
            <w:r w:rsidRPr="001D47AE">
              <w:rPr>
                <w:color w:val="000000" w:themeColor="text1"/>
                <w:lang w:val="en-US"/>
              </w:rPr>
              <w:t>Australian National Registry of Emission Units.</w:t>
            </w:r>
          </w:p>
        </w:tc>
        <w:tc>
          <w:tcPr>
            <w:tcW w:w="574" w:type="pct"/>
            <w:shd w:val="clear" w:color="auto" w:fill="auto"/>
          </w:tcPr>
          <w:p w14:paraId="1AF3D89F" w14:textId="77777777" w:rsidR="005E15C2" w:rsidRPr="008A703F" w:rsidRDefault="005E15C2" w:rsidP="005E15C2">
            <w:pPr>
              <w:spacing w:before="0"/>
              <w:rPr>
                <w:rFonts w:cs="Arial"/>
                <w:color w:val="0070C0"/>
              </w:rPr>
            </w:pPr>
            <w:r w:rsidRPr="00431AC2">
              <w:rPr>
                <w:rFonts w:cs="Arial"/>
                <w:color w:val="000000" w:themeColor="text1"/>
              </w:rPr>
              <w:t>August 2018</w:t>
            </w:r>
          </w:p>
        </w:tc>
        <w:tc>
          <w:tcPr>
            <w:tcW w:w="1199" w:type="pct"/>
            <w:shd w:val="clear" w:color="auto" w:fill="auto"/>
          </w:tcPr>
          <w:p w14:paraId="17C9FF77" w14:textId="77777777" w:rsidR="005E15C2" w:rsidRPr="008A703F" w:rsidRDefault="005E15C2" w:rsidP="005E15C2">
            <w:pPr>
              <w:spacing w:before="0"/>
              <w:rPr>
                <w:rFonts w:cs="Arial"/>
                <w:color w:val="0070C0"/>
              </w:rPr>
            </w:pPr>
            <w:r>
              <w:rPr>
                <w:rFonts w:cs="Arial"/>
                <w:color w:val="000000" w:themeColor="text1"/>
                <w:lang w:val="en-US"/>
              </w:rPr>
              <w:t xml:space="preserve">3,758,601,279 – 3,758,601,528 - </w:t>
            </w:r>
            <w:r>
              <w:t>hyperlink unavailable</w:t>
            </w:r>
          </w:p>
        </w:tc>
        <w:tc>
          <w:tcPr>
            <w:tcW w:w="423" w:type="pct"/>
            <w:tcBorders>
              <w:bottom w:val="single" w:sz="4" w:space="0" w:color="auto"/>
            </w:tcBorders>
            <w:shd w:val="clear" w:color="auto" w:fill="auto"/>
          </w:tcPr>
          <w:p w14:paraId="3B5A3872" w14:textId="77777777" w:rsidR="005E15C2" w:rsidRPr="00773C56" w:rsidRDefault="005E15C2" w:rsidP="005E15C2">
            <w:pPr>
              <w:spacing w:before="0"/>
              <w:rPr>
                <w:rFonts w:cs="Arial"/>
                <w:color w:val="000000" w:themeColor="text1"/>
              </w:rPr>
            </w:pPr>
            <w:r w:rsidRPr="00773C56">
              <w:rPr>
                <w:rFonts w:cs="Arial"/>
                <w:color w:val="000000" w:themeColor="text1"/>
              </w:rPr>
              <w:t>2016/17</w:t>
            </w:r>
          </w:p>
        </w:tc>
        <w:tc>
          <w:tcPr>
            <w:tcW w:w="666" w:type="pct"/>
            <w:tcBorders>
              <w:bottom w:val="single" w:sz="4" w:space="0" w:color="auto"/>
            </w:tcBorders>
            <w:shd w:val="clear" w:color="auto" w:fill="auto"/>
          </w:tcPr>
          <w:p w14:paraId="0F343A72" w14:textId="77777777" w:rsidR="005E15C2" w:rsidRPr="0062338F" w:rsidRDefault="005E15C2" w:rsidP="005E15C2">
            <w:pPr>
              <w:spacing w:before="0"/>
              <w:rPr>
                <w:rFonts w:cs="Arial"/>
                <w:color w:val="000000" w:themeColor="text1"/>
              </w:rPr>
            </w:pPr>
            <w:r w:rsidRPr="0062338F">
              <w:rPr>
                <w:color w:val="000000" w:themeColor="text1"/>
              </w:rPr>
              <w:t>250</w:t>
            </w:r>
          </w:p>
        </w:tc>
      </w:tr>
      <w:tr w:rsidR="005E15C2" w:rsidRPr="0062338F" w14:paraId="2AAD221F" w14:textId="77777777" w:rsidTr="005E15C2">
        <w:trPr>
          <w:cantSplit/>
          <w:tblHeader/>
        </w:trPr>
        <w:tc>
          <w:tcPr>
            <w:tcW w:w="1198" w:type="pct"/>
            <w:shd w:val="clear" w:color="auto" w:fill="auto"/>
          </w:tcPr>
          <w:p w14:paraId="23F1C09C" w14:textId="77777777" w:rsidR="005E15C2" w:rsidRPr="0062338F" w:rsidRDefault="005E15C2" w:rsidP="005E15C2">
            <w:pPr>
              <w:spacing w:before="0"/>
              <w:rPr>
                <w:rFonts w:cs="Arial"/>
                <w:color w:val="000000"/>
              </w:rPr>
            </w:pPr>
            <w:r w:rsidRPr="0062338F">
              <w:rPr>
                <w:rFonts w:cs="Arial"/>
                <w:color w:val="000000"/>
                <w:lang w:val="en-US"/>
              </w:rPr>
              <w:t xml:space="preserve">CECIC Zhangbei Gaojialiang Wind farm Project, </w:t>
            </w:r>
            <w:r w:rsidRPr="001D47AE">
              <w:rPr>
                <w:rFonts w:cs="Arial"/>
                <w:color w:val="000000"/>
              </w:rPr>
              <w:t xml:space="preserve">China </w:t>
            </w:r>
          </w:p>
        </w:tc>
        <w:tc>
          <w:tcPr>
            <w:tcW w:w="469" w:type="pct"/>
            <w:shd w:val="clear" w:color="auto" w:fill="auto"/>
          </w:tcPr>
          <w:p w14:paraId="0C76D533" w14:textId="77777777" w:rsidR="005E15C2" w:rsidRPr="001D47AE" w:rsidRDefault="005E15C2" w:rsidP="005E15C2">
            <w:pPr>
              <w:spacing w:before="0"/>
              <w:rPr>
                <w:rFonts w:cs="Arial"/>
                <w:color w:val="000000" w:themeColor="text1"/>
              </w:rPr>
            </w:pPr>
            <w:r w:rsidRPr="001D47AE">
              <w:rPr>
                <w:color w:val="000000" w:themeColor="text1"/>
              </w:rPr>
              <w:t>VCU</w:t>
            </w:r>
          </w:p>
        </w:tc>
        <w:tc>
          <w:tcPr>
            <w:tcW w:w="471" w:type="pct"/>
            <w:shd w:val="clear" w:color="auto" w:fill="auto"/>
          </w:tcPr>
          <w:p w14:paraId="45DDC5AA" w14:textId="77777777" w:rsidR="005E15C2" w:rsidRPr="001D47AE" w:rsidRDefault="005E15C2" w:rsidP="005E15C2">
            <w:pPr>
              <w:spacing w:before="0"/>
              <w:rPr>
                <w:rFonts w:cs="Arial"/>
                <w:color w:val="000000" w:themeColor="text1"/>
              </w:rPr>
            </w:pPr>
            <w:r>
              <w:rPr>
                <w:color w:val="000000" w:themeColor="text1"/>
                <w:lang w:val="en-US"/>
              </w:rPr>
              <w:t>The APX VCS Registry</w:t>
            </w:r>
          </w:p>
        </w:tc>
        <w:tc>
          <w:tcPr>
            <w:tcW w:w="574" w:type="pct"/>
            <w:shd w:val="clear" w:color="auto" w:fill="auto"/>
          </w:tcPr>
          <w:p w14:paraId="67F4F72D" w14:textId="77777777" w:rsidR="005E15C2" w:rsidRPr="001D47AE" w:rsidRDefault="005E15C2" w:rsidP="005E15C2">
            <w:pPr>
              <w:spacing w:before="0"/>
              <w:rPr>
                <w:rFonts w:cs="Arial"/>
                <w:color w:val="000000" w:themeColor="text1"/>
              </w:rPr>
            </w:pPr>
            <w:r w:rsidRPr="00431AC2">
              <w:rPr>
                <w:rFonts w:cs="Arial"/>
                <w:color w:val="000000" w:themeColor="text1"/>
              </w:rPr>
              <w:t>August 2018</w:t>
            </w:r>
          </w:p>
        </w:tc>
        <w:tc>
          <w:tcPr>
            <w:tcW w:w="1199" w:type="pct"/>
            <w:shd w:val="clear" w:color="auto" w:fill="auto"/>
          </w:tcPr>
          <w:p w14:paraId="3BBB732F" w14:textId="77777777" w:rsidR="005E15C2" w:rsidRPr="001D47AE" w:rsidRDefault="007C5A36" w:rsidP="005E15C2">
            <w:pPr>
              <w:spacing w:before="0"/>
              <w:rPr>
                <w:rFonts w:cs="Arial"/>
                <w:color w:val="000000" w:themeColor="text1"/>
              </w:rPr>
            </w:pPr>
            <w:hyperlink r:id="rId11" w:history="1">
              <w:r w:rsidR="005E15C2" w:rsidRPr="00431AC2">
                <w:rPr>
                  <w:rStyle w:val="Hyperlink"/>
                  <w:rFonts w:asciiTheme="minorHAnsi" w:hAnsiTheme="minorHAnsi" w:cs="Arial"/>
                  <w:lang w:val="en-US"/>
                </w:rPr>
                <w:t>185-177872387-177872786-VCU-009-APX-CN-1-1056-01032012-31082012-0</w:t>
              </w:r>
            </w:hyperlink>
          </w:p>
        </w:tc>
        <w:tc>
          <w:tcPr>
            <w:tcW w:w="423" w:type="pct"/>
            <w:shd w:val="clear" w:color="auto" w:fill="auto"/>
          </w:tcPr>
          <w:p w14:paraId="213E92E4" w14:textId="77777777" w:rsidR="005E15C2" w:rsidRPr="00773C56" w:rsidRDefault="005E15C2" w:rsidP="005E15C2">
            <w:pPr>
              <w:spacing w:before="0"/>
              <w:rPr>
                <w:rFonts w:cs="Arial"/>
                <w:color w:val="000000" w:themeColor="text1"/>
              </w:rPr>
            </w:pPr>
            <w:r>
              <w:rPr>
                <w:rFonts w:cs="Arial"/>
                <w:color w:val="000000" w:themeColor="text1"/>
              </w:rPr>
              <w:t>2012</w:t>
            </w:r>
          </w:p>
        </w:tc>
        <w:tc>
          <w:tcPr>
            <w:tcW w:w="666" w:type="pct"/>
            <w:shd w:val="clear" w:color="auto" w:fill="auto"/>
          </w:tcPr>
          <w:p w14:paraId="7895ECDF" w14:textId="77777777" w:rsidR="005E15C2" w:rsidRPr="0062338F" w:rsidRDefault="005E15C2" w:rsidP="005E15C2">
            <w:pPr>
              <w:spacing w:before="0"/>
              <w:rPr>
                <w:rFonts w:cs="Arial"/>
                <w:color w:val="000000" w:themeColor="text1"/>
              </w:rPr>
            </w:pPr>
            <w:r w:rsidRPr="0062338F">
              <w:rPr>
                <w:color w:val="000000" w:themeColor="text1"/>
              </w:rPr>
              <w:t>400</w:t>
            </w:r>
          </w:p>
        </w:tc>
      </w:tr>
      <w:tr w:rsidR="005E15C2" w:rsidRPr="008A703F" w14:paraId="7B8E386C" w14:textId="77777777" w:rsidTr="005E15C2">
        <w:trPr>
          <w:cantSplit/>
          <w:trHeight w:val="1020"/>
          <w:tblHeader/>
        </w:trPr>
        <w:tc>
          <w:tcPr>
            <w:tcW w:w="1198" w:type="pct"/>
            <w:shd w:val="clear" w:color="auto" w:fill="auto"/>
          </w:tcPr>
          <w:p w14:paraId="4F02C385" w14:textId="77777777" w:rsidR="005E15C2" w:rsidRPr="0062338F" w:rsidRDefault="005E15C2" w:rsidP="005E15C2">
            <w:pPr>
              <w:spacing w:before="0"/>
              <w:rPr>
                <w:color w:val="000000" w:themeColor="text1"/>
              </w:rPr>
            </w:pPr>
            <w:r>
              <w:rPr>
                <w:color w:val="000000" w:themeColor="text1"/>
              </w:rPr>
              <w:t>S</w:t>
            </w:r>
            <w:r w:rsidRPr="0062338F">
              <w:rPr>
                <w:color w:val="000000" w:themeColor="text1"/>
              </w:rPr>
              <w:t>avannah burni</w:t>
            </w:r>
            <w:r>
              <w:rPr>
                <w:color w:val="000000" w:themeColor="text1"/>
              </w:rPr>
              <w:t>ng project in Western Australia</w:t>
            </w:r>
          </w:p>
        </w:tc>
        <w:tc>
          <w:tcPr>
            <w:tcW w:w="469" w:type="pct"/>
            <w:shd w:val="clear" w:color="auto" w:fill="auto"/>
          </w:tcPr>
          <w:p w14:paraId="3813B15D" w14:textId="77777777" w:rsidR="005E15C2" w:rsidRPr="008A703F" w:rsidRDefault="005E15C2" w:rsidP="005E15C2">
            <w:pPr>
              <w:spacing w:before="0"/>
              <w:rPr>
                <w:rFonts w:cs="Arial"/>
                <w:color w:val="0070C0"/>
              </w:rPr>
            </w:pPr>
            <w:r w:rsidRPr="001D47AE">
              <w:rPr>
                <w:color w:val="000000" w:themeColor="text1"/>
              </w:rPr>
              <w:t>ACCU</w:t>
            </w:r>
          </w:p>
        </w:tc>
        <w:tc>
          <w:tcPr>
            <w:tcW w:w="471" w:type="pct"/>
            <w:shd w:val="clear" w:color="auto" w:fill="auto"/>
          </w:tcPr>
          <w:p w14:paraId="668813C6" w14:textId="77777777" w:rsidR="005E15C2" w:rsidRPr="008A703F" w:rsidRDefault="005E15C2" w:rsidP="005E15C2">
            <w:pPr>
              <w:spacing w:before="0"/>
              <w:rPr>
                <w:rFonts w:cs="Arial"/>
                <w:color w:val="0070C0"/>
              </w:rPr>
            </w:pPr>
            <w:r w:rsidRPr="0062338F">
              <w:rPr>
                <w:color w:val="000000" w:themeColor="text1"/>
                <w:lang w:val="en-US"/>
              </w:rPr>
              <w:t>Australian National Registry of Emission Units.</w:t>
            </w:r>
          </w:p>
        </w:tc>
        <w:tc>
          <w:tcPr>
            <w:tcW w:w="574" w:type="pct"/>
            <w:shd w:val="clear" w:color="auto" w:fill="auto"/>
          </w:tcPr>
          <w:p w14:paraId="0D6B8EB7" w14:textId="77777777" w:rsidR="005E15C2" w:rsidRPr="008A703F" w:rsidRDefault="005E15C2" w:rsidP="005E15C2">
            <w:pPr>
              <w:spacing w:before="0"/>
              <w:rPr>
                <w:rFonts w:cs="Arial"/>
                <w:color w:val="0070C0"/>
              </w:rPr>
            </w:pPr>
            <w:r w:rsidRPr="00431AC2">
              <w:rPr>
                <w:rFonts w:cs="Arial"/>
                <w:color w:val="000000" w:themeColor="text1"/>
              </w:rPr>
              <w:t>August 2018</w:t>
            </w:r>
          </w:p>
        </w:tc>
        <w:tc>
          <w:tcPr>
            <w:tcW w:w="1199" w:type="pct"/>
            <w:shd w:val="clear" w:color="auto" w:fill="auto"/>
          </w:tcPr>
          <w:p w14:paraId="724EB8A7" w14:textId="77777777" w:rsidR="005E15C2" w:rsidRPr="0062338F" w:rsidRDefault="005E15C2" w:rsidP="005E15C2">
            <w:pPr>
              <w:spacing w:before="0"/>
              <w:rPr>
                <w:rFonts w:cs="Arial"/>
                <w:color w:val="0070C0"/>
              </w:rPr>
            </w:pPr>
            <w:r w:rsidRPr="0062338F">
              <w:t>3,758,601,529 – 3,758,601,872</w:t>
            </w:r>
            <w:r>
              <w:t xml:space="preserve"> – hyperlink unavailable</w:t>
            </w:r>
          </w:p>
        </w:tc>
        <w:tc>
          <w:tcPr>
            <w:tcW w:w="423" w:type="pct"/>
            <w:shd w:val="clear" w:color="auto" w:fill="auto"/>
          </w:tcPr>
          <w:p w14:paraId="510EC505" w14:textId="77777777" w:rsidR="005E15C2" w:rsidRPr="00773C56" w:rsidRDefault="005E15C2" w:rsidP="005E15C2">
            <w:pPr>
              <w:spacing w:before="0"/>
              <w:rPr>
                <w:rFonts w:cs="Arial"/>
                <w:color w:val="000000" w:themeColor="text1"/>
              </w:rPr>
            </w:pPr>
            <w:r w:rsidRPr="00773C56">
              <w:rPr>
                <w:rFonts w:cs="Arial"/>
                <w:color w:val="000000" w:themeColor="text1"/>
              </w:rPr>
              <w:t>2016/17</w:t>
            </w:r>
          </w:p>
        </w:tc>
        <w:tc>
          <w:tcPr>
            <w:tcW w:w="666" w:type="pct"/>
            <w:shd w:val="clear" w:color="auto" w:fill="auto"/>
          </w:tcPr>
          <w:p w14:paraId="3EA92F74" w14:textId="77777777" w:rsidR="005E15C2" w:rsidRPr="008A703F" w:rsidRDefault="005E15C2" w:rsidP="005E15C2">
            <w:pPr>
              <w:spacing w:before="0"/>
              <w:rPr>
                <w:rFonts w:cs="Arial"/>
                <w:color w:val="0070C0"/>
              </w:rPr>
            </w:pPr>
            <w:r w:rsidRPr="0062338F">
              <w:rPr>
                <w:color w:val="000000" w:themeColor="text1"/>
              </w:rPr>
              <w:t>344</w:t>
            </w:r>
          </w:p>
        </w:tc>
      </w:tr>
      <w:bookmarkEnd w:id="35"/>
    </w:tbl>
    <w:p w14:paraId="147A276F" w14:textId="50169AD9" w:rsidR="005E15C2" w:rsidRDefault="005E15C2" w:rsidP="005E15C2"/>
    <w:tbl>
      <w:tblPr>
        <w:tblStyle w:val="TableGrid1"/>
        <w:tblW w:w="5004" w:type="pct"/>
        <w:tblLayout w:type="fixed"/>
        <w:tblLook w:val="04A0" w:firstRow="1" w:lastRow="0" w:firstColumn="1" w:lastColumn="0" w:noHBand="0" w:noVBand="1"/>
      </w:tblPr>
      <w:tblGrid>
        <w:gridCol w:w="12296"/>
        <w:gridCol w:w="1889"/>
      </w:tblGrid>
      <w:tr w:rsidR="005E15C2" w:rsidRPr="001244B0" w14:paraId="55B8A056" w14:textId="77777777" w:rsidTr="005E15C2">
        <w:trPr>
          <w:cantSplit/>
          <w:trHeight w:val="130"/>
        </w:trPr>
        <w:tc>
          <w:tcPr>
            <w:tcW w:w="4334" w:type="pct"/>
            <w:tcBorders>
              <w:bottom w:val="single" w:sz="4" w:space="0" w:color="auto"/>
            </w:tcBorders>
            <w:shd w:val="clear" w:color="auto" w:fill="auto"/>
          </w:tcPr>
          <w:p w14:paraId="54C6078F" w14:textId="77777777" w:rsidR="005E15C2" w:rsidRPr="001E2F46" w:rsidRDefault="005E15C2" w:rsidP="005E15C2">
            <w:pPr>
              <w:rPr>
                <w:b/>
                <w:bCs/>
              </w:rPr>
            </w:pPr>
            <w:bookmarkStart w:id="36" w:name="RowTitle_PreEvent_Offset_Summary"/>
            <w:r w:rsidRPr="001E2F46">
              <w:rPr>
                <w:b/>
                <w:bCs/>
              </w:rPr>
              <w:t>Total offsets cancelled prior to event</w:t>
            </w:r>
          </w:p>
        </w:tc>
        <w:tc>
          <w:tcPr>
            <w:tcW w:w="666" w:type="pct"/>
            <w:tcBorders>
              <w:bottom w:val="single" w:sz="4" w:space="0" w:color="auto"/>
            </w:tcBorders>
            <w:shd w:val="clear" w:color="auto" w:fill="auto"/>
          </w:tcPr>
          <w:p w14:paraId="09567AFB" w14:textId="77777777" w:rsidR="005E15C2" w:rsidRPr="001244B0" w:rsidRDefault="005E15C2" w:rsidP="005E15C2">
            <w:r>
              <w:t>994</w:t>
            </w:r>
          </w:p>
        </w:tc>
      </w:tr>
    </w:tbl>
    <w:bookmarkEnd w:id="36"/>
    <w:p w14:paraId="0E3F4BBB" w14:textId="26A38D1D" w:rsidR="005E15C2" w:rsidRDefault="005E15C2" w:rsidP="005E15C2">
      <w:pPr>
        <w:pStyle w:val="Heading5"/>
      </w:pPr>
      <w:r>
        <w:t>Post-event offset summary</w:t>
      </w:r>
    </w:p>
    <w:tbl>
      <w:tblPr>
        <w:tblStyle w:val="TableGrid1"/>
        <w:tblW w:w="2691" w:type="pct"/>
        <w:tblLayout w:type="fixed"/>
        <w:tblLook w:val="04A0" w:firstRow="1" w:lastRow="0" w:firstColumn="1" w:lastColumn="0" w:noHBand="0" w:noVBand="1"/>
      </w:tblPr>
      <w:tblGrid>
        <w:gridCol w:w="5899"/>
        <w:gridCol w:w="1729"/>
      </w:tblGrid>
      <w:tr w:rsidR="005E15C2" w:rsidRPr="001244B0" w14:paraId="29D2049E" w14:textId="77777777" w:rsidTr="005E15C2">
        <w:trPr>
          <w:cantSplit/>
        </w:trPr>
        <w:tc>
          <w:tcPr>
            <w:tcW w:w="3867" w:type="pct"/>
            <w:shd w:val="clear" w:color="auto" w:fill="auto"/>
          </w:tcPr>
          <w:p w14:paraId="5E519D3D" w14:textId="77777777" w:rsidR="005E15C2" w:rsidRPr="005E15C2" w:rsidRDefault="005E15C2" w:rsidP="005E15C2">
            <w:pPr>
              <w:rPr>
                <w:b/>
                <w:bCs/>
              </w:rPr>
            </w:pPr>
            <w:bookmarkStart w:id="37" w:name="RowTitle_PostEvent_Offset_Summary"/>
            <w:r w:rsidRPr="005E15C2">
              <w:rPr>
                <w:b/>
                <w:bCs/>
                <w:lang w:val="en-US"/>
              </w:rPr>
              <w:t>Total offset units cancelled for the event</w:t>
            </w:r>
          </w:p>
        </w:tc>
        <w:tc>
          <w:tcPr>
            <w:tcW w:w="1133" w:type="pct"/>
            <w:shd w:val="clear" w:color="auto" w:fill="auto"/>
          </w:tcPr>
          <w:p w14:paraId="7C0A14EF" w14:textId="77777777" w:rsidR="005E15C2" w:rsidRPr="001244B0" w:rsidRDefault="005E15C2" w:rsidP="005E15C2">
            <w:r>
              <w:t>774</w:t>
            </w:r>
          </w:p>
        </w:tc>
      </w:tr>
      <w:tr w:rsidR="005E15C2" w:rsidRPr="001244B0" w14:paraId="1E31807C" w14:textId="77777777" w:rsidTr="005E15C2">
        <w:trPr>
          <w:cantSplit/>
        </w:trPr>
        <w:tc>
          <w:tcPr>
            <w:tcW w:w="3867" w:type="pct"/>
            <w:shd w:val="clear" w:color="auto" w:fill="auto"/>
          </w:tcPr>
          <w:p w14:paraId="7907FB89" w14:textId="10E0D3FE" w:rsidR="005E15C2" w:rsidRPr="005E15C2" w:rsidRDefault="005E15C2" w:rsidP="005E15C2">
            <w:pPr>
              <w:rPr>
                <w:b/>
                <w:bCs/>
              </w:rPr>
            </w:pPr>
            <w:r w:rsidRPr="005E15C2">
              <w:rPr>
                <w:b/>
                <w:bCs/>
              </w:rPr>
              <w:lastRenderedPageBreak/>
              <w:t xml:space="preserve">Total offsets held in surplus for future use: </w:t>
            </w:r>
          </w:p>
        </w:tc>
        <w:tc>
          <w:tcPr>
            <w:tcW w:w="1133" w:type="pct"/>
            <w:shd w:val="clear" w:color="auto" w:fill="auto"/>
          </w:tcPr>
          <w:p w14:paraId="4249A451" w14:textId="77777777" w:rsidR="005E15C2" w:rsidRPr="001244B0" w:rsidRDefault="005E15C2" w:rsidP="005E15C2">
            <w:r>
              <w:t>220</w:t>
            </w:r>
          </w:p>
        </w:tc>
      </w:tr>
      <w:bookmarkEnd w:id="37"/>
    </w:tbl>
    <w:p w14:paraId="1B06F953" w14:textId="55201AA4" w:rsidR="005E15C2" w:rsidRDefault="005E15C2" w:rsidP="005E15C2"/>
    <w:tbl>
      <w:tblPr>
        <w:tblStyle w:val="TableGrid1"/>
        <w:tblW w:w="5004" w:type="pct"/>
        <w:tblLayout w:type="fixed"/>
        <w:tblLook w:val="04A0" w:firstRow="1" w:lastRow="0" w:firstColumn="1" w:lastColumn="0" w:noHBand="0" w:noVBand="1"/>
      </w:tblPr>
      <w:tblGrid>
        <w:gridCol w:w="3462"/>
        <w:gridCol w:w="1311"/>
        <w:gridCol w:w="1274"/>
        <w:gridCol w:w="1583"/>
        <w:gridCol w:w="3404"/>
        <w:gridCol w:w="1262"/>
        <w:gridCol w:w="1889"/>
      </w:tblGrid>
      <w:tr w:rsidR="005E15C2" w:rsidRPr="008A703F" w14:paraId="532CDF91" w14:textId="77777777" w:rsidTr="008C3F30">
        <w:trPr>
          <w:cantSplit/>
          <w:tblHeader/>
        </w:trPr>
        <w:tc>
          <w:tcPr>
            <w:tcW w:w="1220" w:type="pct"/>
            <w:shd w:val="clear" w:color="auto" w:fill="auto"/>
          </w:tcPr>
          <w:p w14:paraId="34093015" w14:textId="77777777" w:rsidR="005E15C2" w:rsidRPr="005E15C2" w:rsidRDefault="005E15C2" w:rsidP="005E15C2">
            <w:pPr>
              <w:spacing w:before="0"/>
              <w:rPr>
                <w:b/>
                <w:bCs/>
              </w:rPr>
            </w:pPr>
            <w:bookmarkStart w:id="38" w:name="ColumnTitle_PostEvent_Offset_Summary"/>
            <w:r w:rsidRPr="005E15C2">
              <w:rPr>
                <w:b/>
                <w:bCs/>
              </w:rPr>
              <w:t xml:space="preserve">Projects </w:t>
            </w:r>
          </w:p>
        </w:tc>
        <w:tc>
          <w:tcPr>
            <w:tcW w:w="462" w:type="pct"/>
            <w:shd w:val="clear" w:color="auto" w:fill="auto"/>
            <w:hideMark/>
          </w:tcPr>
          <w:p w14:paraId="5F86559E" w14:textId="77777777" w:rsidR="005E15C2" w:rsidRPr="005E15C2" w:rsidRDefault="005E15C2" w:rsidP="005E15C2">
            <w:pPr>
              <w:spacing w:before="0"/>
              <w:rPr>
                <w:b/>
                <w:bCs/>
              </w:rPr>
            </w:pPr>
            <w:r w:rsidRPr="005E15C2">
              <w:rPr>
                <w:b/>
                <w:bCs/>
              </w:rPr>
              <w:t xml:space="preserve">Eligible offset units  </w:t>
            </w:r>
          </w:p>
        </w:tc>
        <w:tc>
          <w:tcPr>
            <w:tcW w:w="449" w:type="pct"/>
            <w:shd w:val="clear" w:color="auto" w:fill="auto"/>
          </w:tcPr>
          <w:p w14:paraId="3F8F6CE2" w14:textId="77777777" w:rsidR="005E15C2" w:rsidRPr="005E15C2" w:rsidRDefault="005E15C2" w:rsidP="005E15C2">
            <w:pPr>
              <w:spacing w:before="0"/>
              <w:rPr>
                <w:b/>
                <w:bCs/>
              </w:rPr>
            </w:pPr>
            <w:r w:rsidRPr="005E15C2">
              <w:rPr>
                <w:b/>
                <w:bCs/>
              </w:rPr>
              <w:t>Registry</w:t>
            </w:r>
          </w:p>
        </w:tc>
        <w:tc>
          <w:tcPr>
            <w:tcW w:w="558" w:type="pct"/>
            <w:shd w:val="clear" w:color="auto" w:fill="auto"/>
          </w:tcPr>
          <w:p w14:paraId="7C50F5CF" w14:textId="77777777" w:rsidR="005E15C2" w:rsidRPr="005E15C2" w:rsidRDefault="005E15C2" w:rsidP="005E15C2">
            <w:pPr>
              <w:spacing w:before="0"/>
              <w:rPr>
                <w:b/>
                <w:bCs/>
              </w:rPr>
            </w:pPr>
            <w:r w:rsidRPr="005E15C2">
              <w:rPr>
                <w:b/>
                <w:bCs/>
              </w:rPr>
              <w:t>Cancellation date</w:t>
            </w:r>
          </w:p>
        </w:tc>
        <w:tc>
          <w:tcPr>
            <w:tcW w:w="1200" w:type="pct"/>
            <w:shd w:val="clear" w:color="auto" w:fill="auto"/>
          </w:tcPr>
          <w:p w14:paraId="48F312FD" w14:textId="77777777" w:rsidR="005E15C2" w:rsidRPr="005E15C2" w:rsidRDefault="005E15C2" w:rsidP="005E15C2">
            <w:pPr>
              <w:spacing w:before="0"/>
              <w:rPr>
                <w:b/>
                <w:bCs/>
              </w:rPr>
            </w:pPr>
            <w:r w:rsidRPr="005E15C2">
              <w:rPr>
                <w:b/>
                <w:bCs/>
                <w:lang w:val="en-US"/>
              </w:rPr>
              <w:t>Serial numbers</w:t>
            </w:r>
            <w:r w:rsidRPr="005E15C2" w:rsidDel="004748DF">
              <w:rPr>
                <w:b/>
                <w:bCs/>
                <w:lang w:val="en-US"/>
              </w:rPr>
              <w:t xml:space="preserve"> </w:t>
            </w:r>
            <w:r w:rsidRPr="005E15C2">
              <w:rPr>
                <w:b/>
                <w:bCs/>
                <w:lang w:val="en-US"/>
              </w:rPr>
              <w:t>(including hyperlink to registry transaction record)</w:t>
            </w:r>
          </w:p>
        </w:tc>
        <w:tc>
          <w:tcPr>
            <w:tcW w:w="445" w:type="pct"/>
            <w:shd w:val="clear" w:color="auto" w:fill="auto"/>
          </w:tcPr>
          <w:p w14:paraId="302C5970" w14:textId="77777777" w:rsidR="005E15C2" w:rsidRPr="005E15C2" w:rsidRDefault="005E15C2" w:rsidP="005E15C2">
            <w:pPr>
              <w:spacing w:before="0"/>
              <w:rPr>
                <w:b/>
                <w:bCs/>
              </w:rPr>
            </w:pPr>
            <w:r w:rsidRPr="005E15C2">
              <w:rPr>
                <w:b/>
                <w:bCs/>
              </w:rPr>
              <w:t>Vintage</w:t>
            </w:r>
          </w:p>
        </w:tc>
        <w:tc>
          <w:tcPr>
            <w:tcW w:w="666" w:type="pct"/>
            <w:shd w:val="clear" w:color="auto" w:fill="auto"/>
            <w:hideMark/>
          </w:tcPr>
          <w:p w14:paraId="306FFC40" w14:textId="77777777" w:rsidR="005E15C2" w:rsidRPr="005E15C2" w:rsidRDefault="005E15C2" w:rsidP="005E15C2">
            <w:pPr>
              <w:spacing w:before="0"/>
              <w:rPr>
                <w:b/>
                <w:bCs/>
              </w:rPr>
            </w:pPr>
            <w:r w:rsidRPr="005E15C2">
              <w:rPr>
                <w:b/>
                <w:bCs/>
              </w:rPr>
              <w:t>Quantity</w:t>
            </w:r>
          </w:p>
        </w:tc>
      </w:tr>
      <w:tr w:rsidR="005E15C2" w:rsidRPr="009B20C5" w14:paraId="424CEE74" w14:textId="77777777" w:rsidTr="008C3F30">
        <w:trPr>
          <w:cantSplit/>
        </w:trPr>
        <w:tc>
          <w:tcPr>
            <w:tcW w:w="1220" w:type="pct"/>
            <w:tcBorders>
              <w:bottom w:val="single" w:sz="4" w:space="0" w:color="auto"/>
            </w:tcBorders>
            <w:shd w:val="clear" w:color="auto" w:fill="auto"/>
          </w:tcPr>
          <w:p w14:paraId="7B899FFA" w14:textId="77777777" w:rsidR="005E15C2" w:rsidRPr="001244B0" w:rsidRDefault="005E15C2" w:rsidP="005E15C2">
            <w:pPr>
              <w:spacing w:before="0"/>
            </w:pPr>
            <w:r>
              <w:rPr>
                <w:color w:val="000000" w:themeColor="text1"/>
              </w:rPr>
              <w:t>S</w:t>
            </w:r>
            <w:r w:rsidRPr="0062338F">
              <w:rPr>
                <w:color w:val="000000" w:themeColor="text1"/>
              </w:rPr>
              <w:t>avannah burni</w:t>
            </w:r>
            <w:r>
              <w:rPr>
                <w:color w:val="000000" w:themeColor="text1"/>
              </w:rPr>
              <w:t>ng project in Western Australia</w:t>
            </w:r>
          </w:p>
        </w:tc>
        <w:tc>
          <w:tcPr>
            <w:tcW w:w="462" w:type="pct"/>
            <w:tcBorders>
              <w:bottom w:val="single" w:sz="4" w:space="0" w:color="auto"/>
            </w:tcBorders>
            <w:shd w:val="clear" w:color="auto" w:fill="auto"/>
          </w:tcPr>
          <w:p w14:paraId="69CB4602" w14:textId="77777777" w:rsidR="005E15C2" w:rsidRPr="001244B0" w:rsidRDefault="005E15C2" w:rsidP="005E15C2">
            <w:pPr>
              <w:spacing w:before="0"/>
            </w:pPr>
            <w:r w:rsidRPr="001D47AE">
              <w:rPr>
                <w:color w:val="000000" w:themeColor="text1"/>
              </w:rPr>
              <w:t>ACCU</w:t>
            </w:r>
          </w:p>
        </w:tc>
        <w:tc>
          <w:tcPr>
            <w:tcW w:w="449" w:type="pct"/>
            <w:tcBorders>
              <w:bottom w:val="single" w:sz="4" w:space="0" w:color="auto"/>
            </w:tcBorders>
            <w:shd w:val="clear" w:color="auto" w:fill="auto"/>
          </w:tcPr>
          <w:p w14:paraId="3649B53C" w14:textId="77777777" w:rsidR="005E15C2" w:rsidRPr="001244B0" w:rsidRDefault="005E15C2" w:rsidP="005E15C2">
            <w:pPr>
              <w:spacing w:before="0"/>
            </w:pPr>
            <w:r w:rsidRPr="0062338F">
              <w:rPr>
                <w:color w:val="000000" w:themeColor="text1"/>
                <w:lang w:val="en-US"/>
              </w:rPr>
              <w:t>Australian National Registry of Emission Units.</w:t>
            </w:r>
          </w:p>
        </w:tc>
        <w:tc>
          <w:tcPr>
            <w:tcW w:w="558" w:type="pct"/>
            <w:tcBorders>
              <w:bottom w:val="single" w:sz="4" w:space="0" w:color="auto"/>
            </w:tcBorders>
            <w:shd w:val="clear" w:color="auto" w:fill="auto"/>
          </w:tcPr>
          <w:p w14:paraId="44BA97F6" w14:textId="77777777" w:rsidR="005E15C2" w:rsidRPr="001244B0" w:rsidRDefault="005E15C2" w:rsidP="005E15C2">
            <w:pPr>
              <w:spacing w:before="0"/>
            </w:pPr>
            <w:r w:rsidRPr="00431AC2">
              <w:rPr>
                <w:rFonts w:cs="Arial"/>
                <w:color w:val="000000" w:themeColor="text1"/>
              </w:rPr>
              <w:t>August 2018</w:t>
            </w:r>
          </w:p>
        </w:tc>
        <w:tc>
          <w:tcPr>
            <w:tcW w:w="1200" w:type="pct"/>
            <w:tcBorders>
              <w:bottom w:val="single" w:sz="4" w:space="0" w:color="auto"/>
            </w:tcBorders>
            <w:shd w:val="clear" w:color="auto" w:fill="auto"/>
          </w:tcPr>
          <w:p w14:paraId="4564980D" w14:textId="77777777" w:rsidR="005E15C2" w:rsidRPr="001244B0" w:rsidRDefault="005E15C2" w:rsidP="005E15C2">
            <w:pPr>
              <w:spacing w:before="0"/>
            </w:pPr>
            <w:r>
              <w:t xml:space="preserve">3,758,601,652 - </w:t>
            </w:r>
            <w:r w:rsidRPr="0062338F">
              <w:t>3,758,601,872</w:t>
            </w:r>
          </w:p>
        </w:tc>
        <w:tc>
          <w:tcPr>
            <w:tcW w:w="445" w:type="pct"/>
            <w:tcBorders>
              <w:bottom w:val="single" w:sz="4" w:space="0" w:color="auto"/>
            </w:tcBorders>
            <w:shd w:val="clear" w:color="auto" w:fill="auto"/>
          </w:tcPr>
          <w:p w14:paraId="3F2A02D7" w14:textId="77777777" w:rsidR="005E15C2" w:rsidRPr="001244B0" w:rsidRDefault="005E15C2" w:rsidP="005E15C2">
            <w:pPr>
              <w:spacing w:before="0"/>
            </w:pPr>
          </w:p>
        </w:tc>
        <w:tc>
          <w:tcPr>
            <w:tcW w:w="666" w:type="pct"/>
            <w:tcBorders>
              <w:bottom w:val="single" w:sz="4" w:space="0" w:color="auto"/>
            </w:tcBorders>
            <w:shd w:val="clear" w:color="auto" w:fill="auto"/>
          </w:tcPr>
          <w:p w14:paraId="49BBBCF5" w14:textId="77777777" w:rsidR="005E15C2" w:rsidRPr="009B20C5" w:rsidRDefault="005E15C2" w:rsidP="005E15C2">
            <w:pPr>
              <w:spacing w:before="0"/>
              <w:rPr>
                <w:rFonts w:cs="Arial"/>
              </w:rPr>
            </w:pPr>
            <w:r w:rsidRPr="009B20C5">
              <w:rPr>
                <w:rFonts w:cs="Arial"/>
              </w:rPr>
              <w:t>220</w:t>
            </w:r>
          </w:p>
        </w:tc>
      </w:tr>
      <w:bookmarkEnd w:id="38"/>
    </w:tbl>
    <w:p w14:paraId="648703E2" w14:textId="77777777" w:rsidR="005E15C2" w:rsidRPr="005E15C2" w:rsidRDefault="005E15C2" w:rsidP="005E15C2"/>
    <w:p w14:paraId="3B61AFBE" w14:textId="77777777" w:rsidR="005E15C2" w:rsidRDefault="005E15C2" w:rsidP="005E15C2">
      <w:pPr>
        <w:sectPr w:rsidR="005E15C2" w:rsidSect="005E15C2">
          <w:pgSz w:w="16838" w:h="11906" w:orient="landscape"/>
          <w:pgMar w:top="1440" w:right="1440" w:bottom="1440" w:left="1440" w:header="708" w:footer="708" w:gutter="0"/>
          <w:cols w:space="708"/>
          <w:docGrid w:linePitch="360"/>
        </w:sectPr>
      </w:pPr>
    </w:p>
    <w:p w14:paraId="6EC08876" w14:textId="28809F47" w:rsidR="005E15C2" w:rsidRDefault="005E15C2" w:rsidP="005E15C2">
      <w:pPr>
        <w:pStyle w:val="Heading2"/>
      </w:pPr>
      <w:bookmarkStart w:id="39" w:name="_Toc14679659"/>
      <w:r>
        <w:lastRenderedPageBreak/>
        <w:t>Use of trade mark</w:t>
      </w:r>
      <w:bookmarkEnd w:id="39"/>
    </w:p>
    <w:p w14:paraId="696B32C5" w14:textId="612547AD" w:rsidR="005E15C2" w:rsidRDefault="005E15C2" w:rsidP="005E15C2">
      <w:pPr>
        <w:pStyle w:val="Heading3"/>
      </w:pPr>
      <w:bookmarkStart w:id="40" w:name="_Toc14679660"/>
      <w:r>
        <w:t>Table 5 – Trade mark register</w:t>
      </w:r>
      <w:bookmarkEnd w:id="40"/>
    </w:p>
    <w:tbl>
      <w:tblPr>
        <w:tblW w:w="8505" w:type="dxa"/>
        <w:tblInd w:w="-6" w:type="dxa"/>
        <w:tblLayout w:type="fixed"/>
        <w:tblCellMar>
          <w:left w:w="85" w:type="dxa"/>
          <w:right w:w="85" w:type="dxa"/>
        </w:tblCellMar>
        <w:tblLook w:val="01E0" w:firstRow="1" w:lastRow="1" w:firstColumn="1" w:lastColumn="1" w:noHBand="0" w:noVBand="0"/>
      </w:tblPr>
      <w:tblGrid>
        <w:gridCol w:w="4536"/>
        <w:gridCol w:w="3969"/>
      </w:tblGrid>
      <w:tr w:rsidR="005E15C2" w:rsidRPr="001244B0" w14:paraId="05E79FB9" w14:textId="77777777" w:rsidTr="005E15C2">
        <w:trPr>
          <w:cantSplit/>
          <w:tblHeader/>
        </w:trPr>
        <w:tc>
          <w:tcPr>
            <w:tcW w:w="453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98EF11" w14:textId="77777777" w:rsidR="005E15C2" w:rsidRPr="005E15C2" w:rsidRDefault="005E15C2" w:rsidP="005E15C2">
            <w:pPr>
              <w:spacing w:after="0"/>
              <w:rPr>
                <w:b/>
                <w:bCs/>
              </w:rPr>
            </w:pPr>
            <w:bookmarkStart w:id="41" w:name="ColumnTitle_Trade_Mark_Register"/>
            <w:r w:rsidRPr="005E15C2">
              <w:rPr>
                <w:b/>
                <w:bCs/>
              </w:rPr>
              <w:t>Where used</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185E55" w14:textId="77777777" w:rsidR="005E15C2" w:rsidRPr="005E15C2" w:rsidRDefault="005E15C2" w:rsidP="005E15C2">
            <w:pPr>
              <w:spacing w:after="0"/>
              <w:rPr>
                <w:b/>
                <w:bCs/>
              </w:rPr>
            </w:pPr>
            <w:r w:rsidRPr="005E15C2">
              <w:rPr>
                <w:b/>
                <w:bCs/>
              </w:rPr>
              <w:t>Logo type</w:t>
            </w:r>
          </w:p>
        </w:tc>
      </w:tr>
      <w:tr w:rsidR="005E15C2" w:rsidRPr="00170E5B" w14:paraId="2E6E6CBA" w14:textId="77777777" w:rsidTr="005E15C2">
        <w:trPr>
          <w:cantSplit/>
          <w:trHeight w:val="666"/>
        </w:trPr>
        <w:tc>
          <w:tcPr>
            <w:tcW w:w="4536" w:type="dxa"/>
            <w:tcBorders>
              <w:top w:val="single" w:sz="5" w:space="0" w:color="000000"/>
              <w:left w:val="single" w:sz="5" w:space="0" w:color="000000"/>
              <w:bottom w:val="single" w:sz="7" w:space="0" w:color="000000"/>
              <w:right w:val="single" w:sz="5" w:space="0" w:color="000000"/>
            </w:tcBorders>
            <w:shd w:val="clear" w:color="auto" w:fill="auto"/>
            <w:vAlign w:val="center"/>
          </w:tcPr>
          <w:p w14:paraId="21E74291" w14:textId="77777777" w:rsidR="005E15C2" w:rsidRPr="00170E5B" w:rsidRDefault="005E15C2" w:rsidP="005E15C2">
            <w:pPr>
              <w:spacing w:after="0"/>
              <w:rPr>
                <w:rFonts w:eastAsia="Calibri" w:cs="Calibri"/>
                <w:color w:val="000000" w:themeColor="text1"/>
              </w:rPr>
            </w:pPr>
            <w:r w:rsidRPr="00170E5B">
              <w:rPr>
                <w:color w:val="000000" w:themeColor="text1"/>
              </w:rPr>
              <w:t>Melbourne Fashion Week website (no longer online)</w:t>
            </w:r>
          </w:p>
        </w:tc>
        <w:tc>
          <w:tcPr>
            <w:tcW w:w="3969" w:type="dxa"/>
            <w:tcBorders>
              <w:top w:val="single" w:sz="5" w:space="0" w:color="000000"/>
              <w:left w:val="single" w:sz="5" w:space="0" w:color="000000"/>
              <w:bottom w:val="single" w:sz="7" w:space="0" w:color="000000"/>
              <w:right w:val="single" w:sz="5" w:space="0" w:color="000000"/>
            </w:tcBorders>
            <w:shd w:val="clear" w:color="auto" w:fill="auto"/>
            <w:vAlign w:val="center"/>
          </w:tcPr>
          <w:p w14:paraId="3FF17DA8" w14:textId="77777777" w:rsidR="005E15C2" w:rsidRPr="00170E5B" w:rsidRDefault="005E15C2" w:rsidP="005E15C2">
            <w:pPr>
              <w:spacing w:after="0"/>
              <w:rPr>
                <w:rFonts w:eastAsia="Calibri" w:cs="Calibri"/>
                <w:color w:val="000000" w:themeColor="text1"/>
              </w:rPr>
            </w:pPr>
            <w:r w:rsidRPr="00170E5B">
              <w:rPr>
                <w:color w:val="000000" w:themeColor="text1"/>
              </w:rPr>
              <w:t>Certified event</w:t>
            </w:r>
          </w:p>
        </w:tc>
      </w:tr>
      <w:tr w:rsidR="005E15C2" w:rsidRPr="00170E5B" w14:paraId="24037A71" w14:textId="77777777" w:rsidTr="005E15C2">
        <w:trPr>
          <w:cantSplit/>
          <w:trHeight w:val="332"/>
        </w:trPr>
        <w:tc>
          <w:tcPr>
            <w:tcW w:w="4536" w:type="dxa"/>
            <w:tcBorders>
              <w:top w:val="single" w:sz="7" w:space="0" w:color="000000"/>
              <w:left w:val="single" w:sz="5" w:space="0" w:color="000000"/>
              <w:bottom w:val="single" w:sz="5" w:space="0" w:color="000000"/>
              <w:right w:val="single" w:sz="5" w:space="0" w:color="000000"/>
            </w:tcBorders>
            <w:shd w:val="clear" w:color="auto" w:fill="auto"/>
            <w:vAlign w:val="center"/>
          </w:tcPr>
          <w:p w14:paraId="5D4DD51D" w14:textId="77777777" w:rsidR="005E15C2" w:rsidRPr="00170E5B" w:rsidRDefault="005E15C2" w:rsidP="005E15C2">
            <w:pPr>
              <w:spacing w:after="0"/>
              <w:rPr>
                <w:color w:val="000000" w:themeColor="text1"/>
              </w:rPr>
            </w:pPr>
            <w:r w:rsidRPr="00170E5B">
              <w:rPr>
                <w:color w:val="000000" w:themeColor="text1"/>
              </w:rPr>
              <w:t>Melbourne Music Week website (no longer online)</w:t>
            </w:r>
          </w:p>
        </w:tc>
        <w:tc>
          <w:tcPr>
            <w:tcW w:w="3969" w:type="dxa"/>
            <w:tcBorders>
              <w:top w:val="single" w:sz="7" w:space="0" w:color="000000"/>
              <w:left w:val="single" w:sz="5" w:space="0" w:color="000000"/>
              <w:bottom w:val="single" w:sz="5" w:space="0" w:color="000000"/>
              <w:right w:val="single" w:sz="5" w:space="0" w:color="000000"/>
            </w:tcBorders>
            <w:shd w:val="clear" w:color="auto" w:fill="auto"/>
            <w:vAlign w:val="center"/>
          </w:tcPr>
          <w:p w14:paraId="0DF5A68F" w14:textId="77777777" w:rsidR="005E15C2" w:rsidRPr="00170E5B" w:rsidRDefault="005E15C2" w:rsidP="005E15C2">
            <w:pPr>
              <w:spacing w:after="0"/>
              <w:rPr>
                <w:color w:val="000000" w:themeColor="text1"/>
              </w:rPr>
            </w:pPr>
            <w:r w:rsidRPr="00170E5B">
              <w:rPr>
                <w:color w:val="000000" w:themeColor="text1"/>
              </w:rPr>
              <w:t>Certified event</w:t>
            </w:r>
          </w:p>
        </w:tc>
      </w:tr>
    </w:tbl>
    <w:p w14:paraId="6E3B9C53" w14:textId="63574C07" w:rsidR="005E15C2" w:rsidRDefault="005E15C2" w:rsidP="005E15C2">
      <w:pPr>
        <w:pStyle w:val="Heading2"/>
      </w:pPr>
      <w:bookmarkStart w:id="42" w:name="_Toc14679661"/>
      <w:bookmarkEnd w:id="41"/>
      <w:r>
        <w:t>Additional activities</w:t>
      </w:r>
      <w:bookmarkEnd w:id="42"/>
    </w:p>
    <w:p w14:paraId="7514AA99" w14:textId="79BDC66E" w:rsidR="005E15C2" w:rsidRDefault="005E15C2" w:rsidP="005E15C2">
      <w:r>
        <w:t xml:space="preserve">The City of Melbourne is committed to continuous improvement in how it measures and manages the impact of its various events. It is planned that more events will be included in the Large Events </w:t>
      </w:r>
      <w:r w:rsidR="00073CD5">
        <w:t>Portfolio</w:t>
      </w:r>
      <w:r>
        <w:t xml:space="preserve"> for 2019-20 which will influence the working habits of more internal and external event staff and help to educate more event attendees.</w:t>
      </w:r>
    </w:p>
    <w:p w14:paraId="34E196FC" w14:textId="77777777" w:rsidR="005E15C2" w:rsidRPr="00BB7FC6" w:rsidRDefault="005E15C2" w:rsidP="005E15C2">
      <w:r>
        <w:t>Early stage planning for both Melbourne Fashion Week 2019 and Melbourne Music Week 2019 has identified a number of emissions reduction activities</w:t>
      </w:r>
      <w:bookmarkStart w:id="43" w:name="_GoBack"/>
      <w:bookmarkEnd w:id="43"/>
      <w:r>
        <w:t xml:space="preserve"> which will be prioritised to ensure the continuous improvement and emission reduction of these events.  </w:t>
      </w:r>
    </w:p>
    <w:sectPr w:rsidR="005E15C2" w:rsidRPr="00BB7FC6" w:rsidSect="005E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20E0A"/>
    <w:lvl w:ilvl="0">
      <w:start w:val="1"/>
      <w:numFmt w:val="decimal"/>
      <w:lvlText w:val="%1."/>
      <w:lvlJc w:val="left"/>
      <w:pPr>
        <w:tabs>
          <w:tab w:val="num" w:pos="1492"/>
        </w:tabs>
        <w:ind w:left="1492" w:hanging="360"/>
      </w:pPr>
    </w:lvl>
  </w:abstractNum>
  <w:abstractNum w:abstractNumId="1">
    <w:nsid w:val="FFFFFF7D"/>
    <w:multiLevelType w:val="singleLevel"/>
    <w:tmpl w:val="97565A40"/>
    <w:lvl w:ilvl="0">
      <w:start w:val="1"/>
      <w:numFmt w:val="decimal"/>
      <w:lvlText w:val="%1."/>
      <w:lvlJc w:val="left"/>
      <w:pPr>
        <w:tabs>
          <w:tab w:val="num" w:pos="1209"/>
        </w:tabs>
        <w:ind w:left="1209" w:hanging="360"/>
      </w:pPr>
    </w:lvl>
  </w:abstractNum>
  <w:abstractNum w:abstractNumId="2">
    <w:nsid w:val="FFFFFF7E"/>
    <w:multiLevelType w:val="singleLevel"/>
    <w:tmpl w:val="D27682CE"/>
    <w:lvl w:ilvl="0">
      <w:start w:val="1"/>
      <w:numFmt w:val="decimal"/>
      <w:lvlText w:val="%1."/>
      <w:lvlJc w:val="left"/>
      <w:pPr>
        <w:tabs>
          <w:tab w:val="num" w:pos="926"/>
        </w:tabs>
        <w:ind w:left="926" w:hanging="360"/>
      </w:pPr>
    </w:lvl>
  </w:abstractNum>
  <w:abstractNum w:abstractNumId="3">
    <w:nsid w:val="FFFFFF7F"/>
    <w:multiLevelType w:val="singleLevel"/>
    <w:tmpl w:val="60A61B46"/>
    <w:lvl w:ilvl="0">
      <w:start w:val="1"/>
      <w:numFmt w:val="decimal"/>
      <w:lvlText w:val="%1."/>
      <w:lvlJc w:val="left"/>
      <w:pPr>
        <w:tabs>
          <w:tab w:val="num" w:pos="643"/>
        </w:tabs>
        <w:ind w:left="643" w:hanging="360"/>
      </w:pPr>
    </w:lvl>
  </w:abstractNum>
  <w:abstractNum w:abstractNumId="4">
    <w:nsid w:val="FFFFFF80"/>
    <w:multiLevelType w:val="singleLevel"/>
    <w:tmpl w:val="FDC645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5475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29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B0B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448B2"/>
    <w:lvl w:ilvl="0">
      <w:start w:val="1"/>
      <w:numFmt w:val="decimal"/>
      <w:lvlText w:val="%1."/>
      <w:lvlJc w:val="left"/>
      <w:pPr>
        <w:tabs>
          <w:tab w:val="num" w:pos="360"/>
        </w:tabs>
        <w:ind w:left="360" w:hanging="360"/>
      </w:pPr>
    </w:lvl>
  </w:abstractNum>
  <w:abstractNum w:abstractNumId="9">
    <w:nsid w:val="FFFFFF89"/>
    <w:multiLevelType w:val="singleLevel"/>
    <w:tmpl w:val="5D60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F2409"/>
    <w:multiLevelType w:val="hybridMultilevel"/>
    <w:tmpl w:val="2A28B6BC"/>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1">
    <w:nsid w:val="1B9B4F17"/>
    <w:multiLevelType w:val="hybridMultilevel"/>
    <w:tmpl w:val="C1C8AAC4"/>
    <w:lvl w:ilvl="0" w:tplc="C85646E8">
      <w:start w:val="1"/>
      <w:numFmt w:val="bullet"/>
      <w:lvlText w:val=""/>
      <w:lvlJc w:val="left"/>
      <w:pPr>
        <w:ind w:left="402" w:hanging="300"/>
      </w:pPr>
      <w:rPr>
        <w:rFonts w:ascii="Symbol" w:eastAsia="Symbol" w:hAnsi="Symbol" w:hint="default"/>
        <w:color w:val="0070C0"/>
        <w:w w:val="99"/>
        <w:sz w:val="20"/>
        <w:szCs w:val="20"/>
      </w:rPr>
    </w:lvl>
    <w:lvl w:ilvl="1" w:tplc="B7A01B90">
      <w:start w:val="1"/>
      <w:numFmt w:val="bullet"/>
      <w:lvlText w:val="•"/>
      <w:lvlJc w:val="left"/>
      <w:pPr>
        <w:ind w:left="629" w:hanging="300"/>
      </w:pPr>
      <w:rPr>
        <w:rFonts w:hint="default"/>
      </w:rPr>
    </w:lvl>
    <w:lvl w:ilvl="2" w:tplc="A802E6B8">
      <w:start w:val="1"/>
      <w:numFmt w:val="bullet"/>
      <w:lvlText w:val="•"/>
      <w:lvlJc w:val="left"/>
      <w:pPr>
        <w:ind w:left="856" w:hanging="300"/>
      </w:pPr>
      <w:rPr>
        <w:rFonts w:hint="default"/>
      </w:rPr>
    </w:lvl>
    <w:lvl w:ilvl="3" w:tplc="A4889B8E">
      <w:start w:val="1"/>
      <w:numFmt w:val="bullet"/>
      <w:lvlText w:val="•"/>
      <w:lvlJc w:val="left"/>
      <w:pPr>
        <w:ind w:left="1083" w:hanging="300"/>
      </w:pPr>
      <w:rPr>
        <w:rFonts w:hint="default"/>
      </w:rPr>
    </w:lvl>
    <w:lvl w:ilvl="4" w:tplc="FB4EA288">
      <w:start w:val="1"/>
      <w:numFmt w:val="bullet"/>
      <w:lvlText w:val="•"/>
      <w:lvlJc w:val="left"/>
      <w:pPr>
        <w:ind w:left="1310" w:hanging="300"/>
      </w:pPr>
      <w:rPr>
        <w:rFonts w:hint="default"/>
      </w:rPr>
    </w:lvl>
    <w:lvl w:ilvl="5" w:tplc="E864FDDC">
      <w:start w:val="1"/>
      <w:numFmt w:val="bullet"/>
      <w:lvlText w:val="•"/>
      <w:lvlJc w:val="left"/>
      <w:pPr>
        <w:ind w:left="1538" w:hanging="300"/>
      </w:pPr>
      <w:rPr>
        <w:rFonts w:hint="default"/>
      </w:rPr>
    </w:lvl>
    <w:lvl w:ilvl="6" w:tplc="AB80E1D8">
      <w:start w:val="1"/>
      <w:numFmt w:val="bullet"/>
      <w:lvlText w:val="•"/>
      <w:lvlJc w:val="left"/>
      <w:pPr>
        <w:ind w:left="1765" w:hanging="300"/>
      </w:pPr>
      <w:rPr>
        <w:rFonts w:hint="default"/>
      </w:rPr>
    </w:lvl>
    <w:lvl w:ilvl="7" w:tplc="C0F640D4">
      <w:start w:val="1"/>
      <w:numFmt w:val="bullet"/>
      <w:lvlText w:val="•"/>
      <w:lvlJc w:val="left"/>
      <w:pPr>
        <w:ind w:left="1992" w:hanging="300"/>
      </w:pPr>
      <w:rPr>
        <w:rFonts w:hint="default"/>
      </w:rPr>
    </w:lvl>
    <w:lvl w:ilvl="8" w:tplc="645209DC">
      <w:start w:val="1"/>
      <w:numFmt w:val="bullet"/>
      <w:lvlText w:val="•"/>
      <w:lvlJc w:val="left"/>
      <w:pPr>
        <w:ind w:left="2219" w:hanging="300"/>
      </w:pPr>
      <w:rPr>
        <w:rFonts w:hint="default"/>
      </w:rPr>
    </w:lvl>
  </w:abstractNum>
  <w:abstractNum w:abstractNumId="12">
    <w:nsid w:val="2C5859CD"/>
    <w:multiLevelType w:val="multilevel"/>
    <w:tmpl w:val="2474CEA8"/>
    <w:lvl w:ilvl="0">
      <w:start w:val="1"/>
      <w:numFmt w:val="decimal"/>
      <w:pStyle w:val="Heading2"/>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E4"/>
    <w:rsid w:val="00073CD5"/>
    <w:rsid w:val="000F5BEB"/>
    <w:rsid w:val="0016788B"/>
    <w:rsid w:val="001C31DE"/>
    <w:rsid w:val="001E2F46"/>
    <w:rsid w:val="0021214F"/>
    <w:rsid w:val="00223907"/>
    <w:rsid w:val="002665E4"/>
    <w:rsid w:val="002E0F06"/>
    <w:rsid w:val="00330A5B"/>
    <w:rsid w:val="0041790C"/>
    <w:rsid w:val="004B031C"/>
    <w:rsid w:val="004F6384"/>
    <w:rsid w:val="0051355B"/>
    <w:rsid w:val="005238B0"/>
    <w:rsid w:val="005565EE"/>
    <w:rsid w:val="005E15C2"/>
    <w:rsid w:val="007B1B58"/>
    <w:rsid w:val="007C5A36"/>
    <w:rsid w:val="008470AE"/>
    <w:rsid w:val="008C3F30"/>
    <w:rsid w:val="008C5ED4"/>
    <w:rsid w:val="00A33C58"/>
    <w:rsid w:val="00C77809"/>
    <w:rsid w:val="00CA19EF"/>
    <w:rsid w:val="00CE658E"/>
    <w:rsid w:val="00D81EFE"/>
    <w:rsid w:val="00DC2BC7"/>
    <w:rsid w:val="00E3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0C"/>
    <w:pPr>
      <w:spacing w:line="276" w:lineRule="auto"/>
    </w:pPr>
    <w:rPr>
      <w:rFonts w:ascii="Arial" w:hAnsi="Arial"/>
      <w:sz w:val="20"/>
    </w:rPr>
  </w:style>
  <w:style w:type="paragraph" w:styleId="Heading1">
    <w:name w:val="heading 1"/>
    <w:basedOn w:val="Normal"/>
    <w:next w:val="Normal"/>
    <w:link w:val="Heading1Char"/>
    <w:uiPriority w:val="9"/>
    <w:qFormat/>
    <w:rsid w:val="0041790C"/>
    <w:pPr>
      <w:keepNext/>
      <w:keepLines/>
      <w:spacing w:before="3360" w:after="48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CE658E"/>
    <w:pPr>
      <w:keepNext/>
      <w:keepLines/>
      <w:numPr>
        <w:numId w:val="12"/>
      </w:numPr>
      <w:spacing w:before="400" w:after="240"/>
      <w:outlineLvl w:val="1"/>
    </w:pPr>
    <w:rPr>
      <w:rFonts w:ascii="Arial Bold" w:eastAsiaTheme="majorEastAsia" w:hAnsi="Arial Bold" w:cstheme="majorBidi"/>
      <w:sz w:val="28"/>
      <w:szCs w:val="26"/>
    </w:rPr>
  </w:style>
  <w:style w:type="paragraph" w:styleId="Heading3">
    <w:name w:val="heading 3"/>
    <w:basedOn w:val="Normal"/>
    <w:next w:val="Normal"/>
    <w:link w:val="Heading3Char"/>
    <w:uiPriority w:val="9"/>
    <w:unhideWhenUsed/>
    <w:qFormat/>
    <w:rsid w:val="004F6384"/>
    <w:pPr>
      <w:keepNext/>
      <w:keepLines/>
      <w:tabs>
        <w:tab w:val="left" w:pos="567"/>
      </w:tabs>
      <w:spacing w:before="320"/>
      <w:outlineLvl w:val="2"/>
    </w:pPr>
    <w:rPr>
      <w:rFonts w:ascii="Arial Bold" w:eastAsiaTheme="majorEastAsia" w:hAnsi="Arial Bold" w:cstheme="majorBidi"/>
      <w:sz w:val="24"/>
      <w:szCs w:val="24"/>
    </w:rPr>
  </w:style>
  <w:style w:type="paragraph" w:styleId="Heading4">
    <w:name w:val="heading 4"/>
    <w:basedOn w:val="Normal"/>
    <w:next w:val="Normal"/>
    <w:link w:val="Heading4Char"/>
    <w:uiPriority w:val="9"/>
    <w:unhideWhenUsed/>
    <w:qFormat/>
    <w:rsid w:val="004F6384"/>
    <w:pPr>
      <w:keepNext/>
      <w:keepLines/>
      <w:spacing w:before="280" w:after="160"/>
      <w:outlineLvl w:val="3"/>
    </w:pPr>
    <w:rPr>
      <w:rFonts w:ascii="Arial Bold" w:eastAsiaTheme="majorEastAsia" w:hAnsi="Arial Bold" w:cstheme="majorBidi"/>
      <w:iCs/>
      <w:sz w:val="22"/>
    </w:rPr>
  </w:style>
  <w:style w:type="paragraph" w:styleId="Heading5">
    <w:name w:val="heading 5"/>
    <w:basedOn w:val="Normal"/>
    <w:next w:val="Normal"/>
    <w:link w:val="Heading5Char"/>
    <w:uiPriority w:val="9"/>
    <w:unhideWhenUsed/>
    <w:qFormat/>
    <w:rsid w:val="005E15C2"/>
    <w:pPr>
      <w:keepNext/>
      <w:keepLines/>
      <w:spacing w:before="200" w:after="120"/>
      <w:outlineLvl w:val="4"/>
    </w:pPr>
    <w:rPr>
      <w:rFonts w:ascii="Arial Bold" w:eastAsiaTheme="majorEastAsia" w:hAnsi="Arial 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90C"/>
    <w:rPr>
      <w:rFonts w:ascii="Arial" w:eastAsiaTheme="majorEastAsia" w:hAnsi="Arial" w:cstheme="majorBidi"/>
      <w:sz w:val="52"/>
      <w:szCs w:val="32"/>
    </w:rPr>
  </w:style>
  <w:style w:type="character" w:customStyle="1" w:styleId="Heading2Char">
    <w:name w:val="Heading 2 Char"/>
    <w:basedOn w:val="DefaultParagraphFont"/>
    <w:link w:val="Heading2"/>
    <w:uiPriority w:val="9"/>
    <w:rsid w:val="00CE658E"/>
    <w:rPr>
      <w:rFonts w:ascii="Arial Bold" w:eastAsiaTheme="majorEastAsia" w:hAnsi="Arial Bold" w:cstheme="majorBidi"/>
      <w:sz w:val="28"/>
      <w:szCs w:val="26"/>
    </w:rPr>
  </w:style>
  <w:style w:type="paragraph" w:styleId="ListParagraph">
    <w:name w:val="List Paragraph"/>
    <w:aliases w:val="Body of text - Bullet point"/>
    <w:basedOn w:val="Normal"/>
    <w:link w:val="ListParagraphChar"/>
    <w:uiPriority w:val="34"/>
    <w:qFormat/>
    <w:rsid w:val="0041790C"/>
    <w:pPr>
      <w:widowControl w:val="0"/>
      <w:spacing w:after="0" w:line="240" w:lineRule="auto"/>
    </w:pPr>
    <w:rPr>
      <w:rFonts w:asciiTheme="minorHAnsi" w:hAnsiTheme="minorHAnsi"/>
      <w:sz w:val="22"/>
      <w:lang w:val="en-US"/>
    </w:rPr>
  </w:style>
  <w:style w:type="character" w:customStyle="1" w:styleId="ListParagraphChar">
    <w:name w:val="List Paragraph Char"/>
    <w:aliases w:val="Body of text - Bullet point Char"/>
    <w:basedOn w:val="DefaultParagraphFont"/>
    <w:link w:val="ListParagraph"/>
    <w:uiPriority w:val="34"/>
    <w:rsid w:val="0041790C"/>
    <w:rPr>
      <w:lang w:val="en-US"/>
    </w:rPr>
  </w:style>
  <w:style w:type="paragraph" w:styleId="ListBullet">
    <w:name w:val="List Bullet"/>
    <w:basedOn w:val="Normal"/>
    <w:uiPriority w:val="99"/>
    <w:unhideWhenUsed/>
    <w:rsid w:val="00CE658E"/>
    <w:pPr>
      <w:numPr>
        <w:numId w:val="2"/>
      </w:numPr>
      <w:spacing w:after="120"/>
      <w:ind w:left="357" w:hanging="357"/>
    </w:pPr>
  </w:style>
  <w:style w:type="paragraph" w:styleId="BodyText">
    <w:name w:val="Body Text"/>
    <w:basedOn w:val="Normal"/>
    <w:link w:val="BodyTextChar"/>
    <w:uiPriority w:val="2"/>
    <w:qFormat/>
    <w:rsid w:val="00CE658E"/>
    <w:pPr>
      <w:widowControl w:val="0"/>
      <w:spacing w:after="0" w:line="240" w:lineRule="auto"/>
      <w:ind w:left="986" w:hanging="861"/>
    </w:pPr>
    <w:rPr>
      <w:rFonts w:eastAsia="Arial"/>
      <w:sz w:val="15"/>
      <w:szCs w:val="15"/>
      <w:lang w:val="en-US"/>
    </w:rPr>
  </w:style>
  <w:style w:type="character" w:customStyle="1" w:styleId="BodyTextChar">
    <w:name w:val="Body Text Char"/>
    <w:basedOn w:val="DefaultParagraphFont"/>
    <w:link w:val="BodyText"/>
    <w:uiPriority w:val="2"/>
    <w:rsid w:val="00CE658E"/>
    <w:rPr>
      <w:rFonts w:ascii="Arial" w:eastAsia="Arial" w:hAnsi="Arial"/>
      <w:sz w:val="15"/>
      <w:szCs w:val="15"/>
      <w:lang w:val="en-US"/>
    </w:rPr>
  </w:style>
  <w:style w:type="table" w:styleId="TableGrid">
    <w:name w:val="Table Grid"/>
    <w:basedOn w:val="TableNormal"/>
    <w:uiPriority w:val="59"/>
    <w:rsid w:val="00CE658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6384"/>
    <w:rPr>
      <w:rFonts w:ascii="Arial Bold" w:eastAsiaTheme="majorEastAsia" w:hAnsi="Arial Bold" w:cstheme="majorBidi"/>
      <w:sz w:val="24"/>
      <w:szCs w:val="24"/>
    </w:rPr>
  </w:style>
  <w:style w:type="character" w:customStyle="1" w:styleId="Heading4Char">
    <w:name w:val="Heading 4 Char"/>
    <w:basedOn w:val="DefaultParagraphFont"/>
    <w:link w:val="Heading4"/>
    <w:uiPriority w:val="9"/>
    <w:rsid w:val="004F6384"/>
    <w:rPr>
      <w:rFonts w:ascii="Arial Bold" w:eastAsiaTheme="majorEastAsia" w:hAnsi="Arial Bold" w:cstheme="majorBidi"/>
      <w:iCs/>
    </w:rPr>
  </w:style>
  <w:style w:type="paragraph" w:customStyle="1" w:styleId="TableParagraph">
    <w:name w:val="Table Paragraph"/>
    <w:basedOn w:val="Normal"/>
    <w:uiPriority w:val="1"/>
    <w:qFormat/>
    <w:rsid w:val="005238B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5E15C2"/>
    <w:rPr>
      <w:color w:val="0563C1" w:themeColor="hyperlink"/>
      <w:u w:val="single"/>
    </w:rPr>
  </w:style>
  <w:style w:type="table" w:customStyle="1" w:styleId="TableGrid1">
    <w:name w:val="Table Grid1"/>
    <w:basedOn w:val="TableNormal"/>
    <w:next w:val="TableGrid"/>
    <w:uiPriority w:val="59"/>
    <w:rsid w:val="005E15C2"/>
    <w:pPr>
      <w:spacing w:before="240" w:after="0" w:line="240" w:lineRule="auto"/>
    </w:pPr>
    <w:rPr>
      <w:rFonts w:ascii="New York" w:eastAsia="Times New Roman" w:hAnsi="New York"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E15C2"/>
    <w:rPr>
      <w:rFonts w:ascii="Arial Bold" w:eastAsiaTheme="majorEastAsia" w:hAnsi="Arial Bold" w:cstheme="majorBidi"/>
      <w:sz w:val="20"/>
    </w:rPr>
  </w:style>
  <w:style w:type="paragraph" w:styleId="TOCHeading">
    <w:name w:val="TOC Heading"/>
    <w:basedOn w:val="Heading1"/>
    <w:next w:val="Normal"/>
    <w:uiPriority w:val="39"/>
    <w:unhideWhenUsed/>
    <w:qFormat/>
    <w:rsid w:val="007B1B58"/>
    <w:pPr>
      <w:spacing w:before="240" w:after="0" w:line="259" w:lineRule="auto"/>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B1B58"/>
    <w:pPr>
      <w:tabs>
        <w:tab w:val="right" w:leader="dot" w:pos="9015"/>
      </w:tabs>
      <w:spacing w:after="120"/>
    </w:pPr>
  </w:style>
  <w:style w:type="paragraph" w:styleId="TOC2">
    <w:name w:val="toc 2"/>
    <w:basedOn w:val="Normal"/>
    <w:next w:val="Normal"/>
    <w:autoRedefine/>
    <w:uiPriority w:val="39"/>
    <w:unhideWhenUsed/>
    <w:rsid w:val="007B1B58"/>
    <w:pPr>
      <w:tabs>
        <w:tab w:val="right" w:leader="dot" w:pos="9016"/>
      </w:tabs>
      <w:spacing w:after="100"/>
      <w:ind w:left="198"/>
    </w:pPr>
  </w:style>
  <w:style w:type="paragraph" w:styleId="TOC3">
    <w:name w:val="toc 3"/>
    <w:basedOn w:val="Normal"/>
    <w:next w:val="Normal"/>
    <w:autoRedefine/>
    <w:uiPriority w:val="39"/>
    <w:unhideWhenUsed/>
    <w:rsid w:val="007B1B58"/>
    <w:pPr>
      <w:spacing w:after="100"/>
      <w:ind w:left="400"/>
    </w:pPr>
  </w:style>
  <w:style w:type="paragraph" w:styleId="BalloonText">
    <w:name w:val="Balloon Text"/>
    <w:basedOn w:val="Normal"/>
    <w:link w:val="BalloonTextChar"/>
    <w:uiPriority w:val="99"/>
    <w:semiHidden/>
    <w:unhideWhenUsed/>
    <w:rsid w:val="0055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0C"/>
    <w:pPr>
      <w:spacing w:line="276" w:lineRule="auto"/>
    </w:pPr>
    <w:rPr>
      <w:rFonts w:ascii="Arial" w:hAnsi="Arial"/>
      <w:sz w:val="20"/>
    </w:rPr>
  </w:style>
  <w:style w:type="paragraph" w:styleId="Heading1">
    <w:name w:val="heading 1"/>
    <w:basedOn w:val="Normal"/>
    <w:next w:val="Normal"/>
    <w:link w:val="Heading1Char"/>
    <w:uiPriority w:val="9"/>
    <w:qFormat/>
    <w:rsid w:val="0041790C"/>
    <w:pPr>
      <w:keepNext/>
      <w:keepLines/>
      <w:spacing w:before="3360" w:after="48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CE658E"/>
    <w:pPr>
      <w:keepNext/>
      <w:keepLines/>
      <w:numPr>
        <w:numId w:val="12"/>
      </w:numPr>
      <w:spacing w:before="400" w:after="240"/>
      <w:outlineLvl w:val="1"/>
    </w:pPr>
    <w:rPr>
      <w:rFonts w:ascii="Arial Bold" w:eastAsiaTheme="majorEastAsia" w:hAnsi="Arial Bold" w:cstheme="majorBidi"/>
      <w:sz w:val="28"/>
      <w:szCs w:val="26"/>
    </w:rPr>
  </w:style>
  <w:style w:type="paragraph" w:styleId="Heading3">
    <w:name w:val="heading 3"/>
    <w:basedOn w:val="Normal"/>
    <w:next w:val="Normal"/>
    <w:link w:val="Heading3Char"/>
    <w:uiPriority w:val="9"/>
    <w:unhideWhenUsed/>
    <w:qFormat/>
    <w:rsid w:val="004F6384"/>
    <w:pPr>
      <w:keepNext/>
      <w:keepLines/>
      <w:tabs>
        <w:tab w:val="left" w:pos="567"/>
      </w:tabs>
      <w:spacing w:before="320"/>
      <w:outlineLvl w:val="2"/>
    </w:pPr>
    <w:rPr>
      <w:rFonts w:ascii="Arial Bold" w:eastAsiaTheme="majorEastAsia" w:hAnsi="Arial Bold" w:cstheme="majorBidi"/>
      <w:sz w:val="24"/>
      <w:szCs w:val="24"/>
    </w:rPr>
  </w:style>
  <w:style w:type="paragraph" w:styleId="Heading4">
    <w:name w:val="heading 4"/>
    <w:basedOn w:val="Normal"/>
    <w:next w:val="Normal"/>
    <w:link w:val="Heading4Char"/>
    <w:uiPriority w:val="9"/>
    <w:unhideWhenUsed/>
    <w:qFormat/>
    <w:rsid w:val="004F6384"/>
    <w:pPr>
      <w:keepNext/>
      <w:keepLines/>
      <w:spacing w:before="280" w:after="160"/>
      <w:outlineLvl w:val="3"/>
    </w:pPr>
    <w:rPr>
      <w:rFonts w:ascii="Arial Bold" w:eastAsiaTheme="majorEastAsia" w:hAnsi="Arial Bold" w:cstheme="majorBidi"/>
      <w:iCs/>
      <w:sz w:val="22"/>
    </w:rPr>
  </w:style>
  <w:style w:type="paragraph" w:styleId="Heading5">
    <w:name w:val="heading 5"/>
    <w:basedOn w:val="Normal"/>
    <w:next w:val="Normal"/>
    <w:link w:val="Heading5Char"/>
    <w:uiPriority w:val="9"/>
    <w:unhideWhenUsed/>
    <w:qFormat/>
    <w:rsid w:val="005E15C2"/>
    <w:pPr>
      <w:keepNext/>
      <w:keepLines/>
      <w:spacing w:before="200" w:after="120"/>
      <w:outlineLvl w:val="4"/>
    </w:pPr>
    <w:rPr>
      <w:rFonts w:ascii="Arial Bold" w:eastAsiaTheme="majorEastAsia" w:hAnsi="Arial 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90C"/>
    <w:rPr>
      <w:rFonts w:ascii="Arial" w:eastAsiaTheme="majorEastAsia" w:hAnsi="Arial" w:cstheme="majorBidi"/>
      <w:sz w:val="52"/>
      <w:szCs w:val="32"/>
    </w:rPr>
  </w:style>
  <w:style w:type="character" w:customStyle="1" w:styleId="Heading2Char">
    <w:name w:val="Heading 2 Char"/>
    <w:basedOn w:val="DefaultParagraphFont"/>
    <w:link w:val="Heading2"/>
    <w:uiPriority w:val="9"/>
    <w:rsid w:val="00CE658E"/>
    <w:rPr>
      <w:rFonts w:ascii="Arial Bold" w:eastAsiaTheme="majorEastAsia" w:hAnsi="Arial Bold" w:cstheme="majorBidi"/>
      <w:sz w:val="28"/>
      <w:szCs w:val="26"/>
    </w:rPr>
  </w:style>
  <w:style w:type="paragraph" w:styleId="ListParagraph">
    <w:name w:val="List Paragraph"/>
    <w:aliases w:val="Body of text - Bullet point"/>
    <w:basedOn w:val="Normal"/>
    <w:link w:val="ListParagraphChar"/>
    <w:uiPriority w:val="34"/>
    <w:qFormat/>
    <w:rsid w:val="0041790C"/>
    <w:pPr>
      <w:widowControl w:val="0"/>
      <w:spacing w:after="0" w:line="240" w:lineRule="auto"/>
    </w:pPr>
    <w:rPr>
      <w:rFonts w:asciiTheme="minorHAnsi" w:hAnsiTheme="minorHAnsi"/>
      <w:sz w:val="22"/>
      <w:lang w:val="en-US"/>
    </w:rPr>
  </w:style>
  <w:style w:type="character" w:customStyle="1" w:styleId="ListParagraphChar">
    <w:name w:val="List Paragraph Char"/>
    <w:aliases w:val="Body of text - Bullet point Char"/>
    <w:basedOn w:val="DefaultParagraphFont"/>
    <w:link w:val="ListParagraph"/>
    <w:uiPriority w:val="34"/>
    <w:rsid w:val="0041790C"/>
    <w:rPr>
      <w:lang w:val="en-US"/>
    </w:rPr>
  </w:style>
  <w:style w:type="paragraph" w:styleId="ListBullet">
    <w:name w:val="List Bullet"/>
    <w:basedOn w:val="Normal"/>
    <w:uiPriority w:val="99"/>
    <w:unhideWhenUsed/>
    <w:rsid w:val="00CE658E"/>
    <w:pPr>
      <w:numPr>
        <w:numId w:val="2"/>
      </w:numPr>
      <w:spacing w:after="120"/>
      <w:ind w:left="357" w:hanging="357"/>
    </w:pPr>
  </w:style>
  <w:style w:type="paragraph" w:styleId="BodyText">
    <w:name w:val="Body Text"/>
    <w:basedOn w:val="Normal"/>
    <w:link w:val="BodyTextChar"/>
    <w:uiPriority w:val="2"/>
    <w:qFormat/>
    <w:rsid w:val="00CE658E"/>
    <w:pPr>
      <w:widowControl w:val="0"/>
      <w:spacing w:after="0" w:line="240" w:lineRule="auto"/>
      <w:ind w:left="986" w:hanging="861"/>
    </w:pPr>
    <w:rPr>
      <w:rFonts w:eastAsia="Arial"/>
      <w:sz w:val="15"/>
      <w:szCs w:val="15"/>
      <w:lang w:val="en-US"/>
    </w:rPr>
  </w:style>
  <w:style w:type="character" w:customStyle="1" w:styleId="BodyTextChar">
    <w:name w:val="Body Text Char"/>
    <w:basedOn w:val="DefaultParagraphFont"/>
    <w:link w:val="BodyText"/>
    <w:uiPriority w:val="2"/>
    <w:rsid w:val="00CE658E"/>
    <w:rPr>
      <w:rFonts w:ascii="Arial" w:eastAsia="Arial" w:hAnsi="Arial"/>
      <w:sz w:val="15"/>
      <w:szCs w:val="15"/>
      <w:lang w:val="en-US"/>
    </w:rPr>
  </w:style>
  <w:style w:type="table" w:styleId="TableGrid">
    <w:name w:val="Table Grid"/>
    <w:basedOn w:val="TableNormal"/>
    <w:uiPriority w:val="59"/>
    <w:rsid w:val="00CE658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6384"/>
    <w:rPr>
      <w:rFonts w:ascii="Arial Bold" w:eastAsiaTheme="majorEastAsia" w:hAnsi="Arial Bold" w:cstheme="majorBidi"/>
      <w:sz w:val="24"/>
      <w:szCs w:val="24"/>
    </w:rPr>
  </w:style>
  <w:style w:type="character" w:customStyle="1" w:styleId="Heading4Char">
    <w:name w:val="Heading 4 Char"/>
    <w:basedOn w:val="DefaultParagraphFont"/>
    <w:link w:val="Heading4"/>
    <w:uiPriority w:val="9"/>
    <w:rsid w:val="004F6384"/>
    <w:rPr>
      <w:rFonts w:ascii="Arial Bold" w:eastAsiaTheme="majorEastAsia" w:hAnsi="Arial Bold" w:cstheme="majorBidi"/>
      <w:iCs/>
    </w:rPr>
  </w:style>
  <w:style w:type="paragraph" w:customStyle="1" w:styleId="TableParagraph">
    <w:name w:val="Table Paragraph"/>
    <w:basedOn w:val="Normal"/>
    <w:uiPriority w:val="1"/>
    <w:qFormat/>
    <w:rsid w:val="005238B0"/>
    <w:pPr>
      <w:widowControl w:val="0"/>
      <w:spacing w:after="0" w:line="240" w:lineRule="auto"/>
    </w:pPr>
    <w:rPr>
      <w:rFonts w:asciiTheme="minorHAnsi" w:hAnsiTheme="minorHAnsi"/>
      <w:sz w:val="22"/>
      <w:lang w:val="en-US"/>
    </w:rPr>
  </w:style>
  <w:style w:type="character" w:styleId="Hyperlink">
    <w:name w:val="Hyperlink"/>
    <w:basedOn w:val="DefaultParagraphFont"/>
    <w:uiPriority w:val="99"/>
    <w:unhideWhenUsed/>
    <w:rsid w:val="005E15C2"/>
    <w:rPr>
      <w:color w:val="0563C1" w:themeColor="hyperlink"/>
      <w:u w:val="single"/>
    </w:rPr>
  </w:style>
  <w:style w:type="table" w:customStyle="1" w:styleId="TableGrid1">
    <w:name w:val="Table Grid1"/>
    <w:basedOn w:val="TableNormal"/>
    <w:next w:val="TableGrid"/>
    <w:uiPriority w:val="59"/>
    <w:rsid w:val="005E15C2"/>
    <w:pPr>
      <w:spacing w:before="240" w:after="0" w:line="240" w:lineRule="auto"/>
    </w:pPr>
    <w:rPr>
      <w:rFonts w:ascii="New York" w:eastAsia="Times New Roman" w:hAnsi="New York"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E15C2"/>
    <w:rPr>
      <w:rFonts w:ascii="Arial Bold" w:eastAsiaTheme="majorEastAsia" w:hAnsi="Arial Bold" w:cstheme="majorBidi"/>
      <w:sz w:val="20"/>
    </w:rPr>
  </w:style>
  <w:style w:type="paragraph" w:styleId="TOCHeading">
    <w:name w:val="TOC Heading"/>
    <w:basedOn w:val="Heading1"/>
    <w:next w:val="Normal"/>
    <w:uiPriority w:val="39"/>
    <w:unhideWhenUsed/>
    <w:qFormat/>
    <w:rsid w:val="007B1B58"/>
    <w:pPr>
      <w:spacing w:before="240" w:after="0" w:line="259" w:lineRule="auto"/>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B1B58"/>
    <w:pPr>
      <w:tabs>
        <w:tab w:val="right" w:leader="dot" w:pos="9015"/>
      </w:tabs>
      <w:spacing w:after="120"/>
    </w:pPr>
  </w:style>
  <w:style w:type="paragraph" w:styleId="TOC2">
    <w:name w:val="toc 2"/>
    <w:basedOn w:val="Normal"/>
    <w:next w:val="Normal"/>
    <w:autoRedefine/>
    <w:uiPriority w:val="39"/>
    <w:unhideWhenUsed/>
    <w:rsid w:val="007B1B58"/>
    <w:pPr>
      <w:tabs>
        <w:tab w:val="right" w:leader="dot" w:pos="9016"/>
      </w:tabs>
      <w:spacing w:after="100"/>
      <w:ind w:left="198"/>
    </w:pPr>
  </w:style>
  <w:style w:type="paragraph" w:styleId="TOC3">
    <w:name w:val="toc 3"/>
    <w:basedOn w:val="Normal"/>
    <w:next w:val="Normal"/>
    <w:autoRedefine/>
    <w:uiPriority w:val="39"/>
    <w:unhideWhenUsed/>
    <w:rsid w:val="007B1B58"/>
    <w:pPr>
      <w:spacing w:after="100"/>
      <w:ind w:left="400"/>
    </w:pPr>
  </w:style>
  <w:style w:type="paragraph" w:styleId="BalloonText">
    <w:name w:val="Balloon Text"/>
    <w:basedOn w:val="Normal"/>
    <w:link w:val="BalloonTextChar"/>
    <w:uiPriority w:val="99"/>
    <w:semiHidden/>
    <w:unhideWhenUsed/>
    <w:rsid w:val="0055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csregistry2.apx.com/myModule/rpt/myrpt.asp?r=206&amp;h=19805"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23A3F-8727-4F72-81C8-F88FD58D1CFB}">
  <ds:schemaRefs>
    <ds:schemaRef ds:uri="http://schemas.openxmlformats.org/officeDocument/2006/bibliography"/>
  </ds:schemaRefs>
</ds:datastoreItem>
</file>

<file path=customXml/itemProps2.xml><?xml version="1.0" encoding="utf-8"?>
<ds:datastoreItem xmlns:ds="http://schemas.openxmlformats.org/officeDocument/2006/customXml" ds:itemID="{C50F3A80-5B83-4318-8EA6-7C4AB16B7FF5}"/>
</file>

<file path=customXml/itemProps3.xml><?xml version="1.0" encoding="utf-8"?>
<ds:datastoreItem xmlns:ds="http://schemas.openxmlformats.org/officeDocument/2006/customXml" ds:itemID="{A30CF6FD-D66D-48D0-9D82-5C74D7059360}"/>
</file>

<file path=customXml/itemProps4.xml><?xml version="1.0" encoding="utf-8"?>
<ds:datastoreItem xmlns:ds="http://schemas.openxmlformats.org/officeDocument/2006/customXml" ds:itemID="{36FEDAE5-0CE6-4BBE-8134-51F40838775D}"/>
</file>

<file path=docProps/app.xml><?xml version="1.0" encoding="utf-8"?>
<Properties xmlns="http://schemas.openxmlformats.org/officeDocument/2006/extended-properties" xmlns:vt="http://schemas.openxmlformats.org/officeDocument/2006/docPropsVTypes">
  <Template>Normal.dotm</Template>
  <TotalTime>4</TotalTime>
  <Pages>13</Pages>
  <Words>2549</Words>
  <Characters>15707</Characters>
  <Application>Microsoft Office Word</Application>
  <DocSecurity>0</DocSecurity>
  <Lines>237</Lines>
  <Paragraphs>54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Carbon Offset Standard for Events. Carbon Neutral Program. Post Event Public Disclosure Summary</dc:title>
  <dc:creator>Madeleine Torres</dc:creator>
  <cp:lastModifiedBy>jaclev</cp:lastModifiedBy>
  <cp:revision>2</cp:revision>
  <dcterms:created xsi:type="dcterms:W3CDTF">2019-08-06T06:24:00Z</dcterms:created>
  <dcterms:modified xsi:type="dcterms:W3CDTF">2019-08-06T06:24:00Z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