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11" w:rsidRPr="00A614DB" w:rsidRDefault="00180411" w:rsidP="003005A3">
      <w:pPr>
        <w:tabs>
          <w:tab w:val="left" w:pos="567"/>
        </w:tabs>
        <w:ind w:right="140"/>
        <w:jc w:val="right"/>
      </w:pPr>
      <w:bookmarkStart w:id="0" w:name="_GoBack"/>
      <w:bookmarkEnd w:id="0"/>
      <w:r w:rsidRPr="00A614DB">
        <w:rPr>
          <w:noProof/>
          <w:lang w:eastAsia="en-AU"/>
        </w:rPr>
        <w:drawing>
          <wp:inline distT="0" distB="0" distL="0" distR="0" wp14:anchorId="17958BA1" wp14:editId="5F1A61A7">
            <wp:extent cx="990600" cy="952500"/>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180411" w:rsidRPr="00A614DB" w:rsidRDefault="00180411" w:rsidP="00D87052">
      <w:pPr>
        <w:pStyle w:val="Heading1"/>
        <w:ind w:right="566"/>
        <w:rPr>
          <w:rFonts w:hint="eastAsia"/>
        </w:rPr>
      </w:pPr>
      <w:r w:rsidRPr="00A614DB">
        <w:t>Resolutions of the Future Melbourne Committee meeting</w:t>
      </w:r>
      <w:r w:rsidR="003D2F08" w:rsidRPr="00A614DB">
        <w:t xml:space="preserve"> </w:t>
      </w:r>
      <w:r w:rsidRPr="00A614DB">
        <w:t xml:space="preserve">held on Tuesday </w:t>
      </w:r>
      <w:r w:rsidR="004F523B">
        <w:t>7</w:t>
      </w:r>
      <w:r w:rsidR="00012321" w:rsidRPr="00A614DB">
        <w:t xml:space="preserve"> </w:t>
      </w:r>
      <w:r w:rsidR="0088404F">
        <w:t>June</w:t>
      </w:r>
      <w:r w:rsidR="000B7C83" w:rsidRPr="00A614DB">
        <w:t xml:space="preserve"> </w:t>
      </w:r>
      <w:r w:rsidRPr="00A614DB">
        <w:t>2016</w:t>
      </w:r>
    </w:p>
    <w:p w:rsidR="00180411" w:rsidRPr="00A614DB" w:rsidRDefault="00180411" w:rsidP="00074B1E">
      <w:pPr>
        <w:pStyle w:val="Heading2"/>
        <w:spacing w:after="120"/>
        <w:rPr>
          <w:rFonts w:hint="eastAsia"/>
        </w:rPr>
      </w:pPr>
      <w:r w:rsidRPr="00A614DB">
        <w:t>Agenda item 6.1</w:t>
      </w:r>
    </w:p>
    <w:p w:rsidR="0088404F" w:rsidRPr="0088404F" w:rsidRDefault="0088404F" w:rsidP="00FF58A4">
      <w:pPr>
        <w:pStyle w:val="Bold"/>
        <w:rPr>
          <w:sz w:val="22"/>
          <w:szCs w:val="22"/>
        </w:rPr>
      </w:pPr>
      <w:r w:rsidRPr="0088404F">
        <w:rPr>
          <w:rFonts w:cs="Arial"/>
          <w:sz w:val="22"/>
          <w:szCs w:val="22"/>
        </w:rPr>
        <w:t>Planning Scheme Amendment C259 – Application of DDO32 over 120-162 Capel Street and 135-159 Peel Street</w:t>
      </w:r>
      <w:r w:rsidRPr="0088404F">
        <w:rPr>
          <w:sz w:val="22"/>
          <w:szCs w:val="22"/>
        </w:rPr>
        <w:t xml:space="preserve"> </w:t>
      </w:r>
    </w:p>
    <w:p w:rsidR="00180411" w:rsidRDefault="00180411" w:rsidP="00FF58A4">
      <w:pPr>
        <w:pStyle w:val="Bold"/>
      </w:pPr>
      <w:r w:rsidRPr="00A614DB">
        <w:t>Resolved:</w:t>
      </w:r>
    </w:p>
    <w:p w:rsidR="00766385" w:rsidRPr="00766385" w:rsidRDefault="00766385" w:rsidP="00766385">
      <w:pPr>
        <w:numPr>
          <w:ilvl w:val="0"/>
          <w:numId w:val="16"/>
        </w:numPr>
        <w:spacing w:after="120"/>
        <w:ind w:left="284" w:right="23" w:hanging="284"/>
        <w:rPr>
          <w:rFonts w:cs="Arial"/>
          <w:color w:val="000000"/>
          <w:szCs w:val="20"/>
        </w:rPr>
      </w:pPr>
      <w:r w:rsidRPr="00766385">
        <w:rPr>
          <w:rFonts w:cs="Arial"/>
          <w:color w:val="000000"/>
          <w:szCs w:val="20"/>
        </w:rPr>
        <w:t>That the Future Melbourne Committee recommends Council:</w:t>
      </w:r>
    </w:p>
    <w:p w:rsidR="00766385" w:rsidRPr="00766385" w:rsidRDefault="00661300" w:rsidP="00766385">
      <w:pPr>
        <w:numPr>
          <w:ilvl w:val="1"/>
          <w:numId w:val="16"/>
        </w:numPr>
        <w:tabs>
          <w:tab w:val="left" w:pos="851"/>
        </w:tabs>
        <w:spacing w:after="120"/>
        <w:ind w:left="851" w:right="23" w:hanging="567"/>
        <w:rPr>
          <w:rFonts w:cs="Arial"/>
          <w:color w:val="000000"/>
          <w:szCs w:val="20"/>
        </w:rPr>
      </w:pPr>
      <w:r>
        <w:rPr>
          <w:rFonts w:cs="Arial"/>
          <w:color w:val="000000"/>
          <w:szCs w:val="20"/>
        </w:rPr>
        <w:t>A</w:t>
      </w:r>
      <w:r w:rsidR="00766385" w:rsidRPr="00766385">
        <w:rPr>
          <w:rFonts w:cs="Arial"/>
          <w:color w:val="000000"/>
          <w:szCs w:val="20"/>
        </w:rPr>
        <w:t xml:space="preserve">dopts Melbourne Planning Scheme Amendment C259 as exhibited, pursuant to </w:t>
      </w:r>
      <w:r w:rsidR="00F10EE6">
        <w:rPr>
          <w:rFonts w:cs="Arial"/>
          <w:color w:val="000000"/>
          <w:szCs w:val="20"/>
        </w:rPr>
        <w:t>s</w:t>
      </w:r>
      <w:r w:rsidR="00766385" w:rsidRPr="00766385">
        <w:rPr>
          <w:rFonts w:cs="Arial"/>
          <w:color w:val="000000"/>
          <w:szCs w:val="20"/>
        </w:rPr>
        <w:t xml:space="preserve">ection 29 of the </w:t>
      </w:r>
      <w:r w:rsidR="00766385" w:rsidRPr="00766385">
        <w:rPr>
          <w:rFonts w:cs="Arial"/>
          <w:i/>
          <w:color w:val="000000"/>
          <w:szCs w:val="20"/>
        </w:rPr>
        <w:t>Planning and Environment Act 1987</w:t>
      </w:r>
      <w:r>
        <w:rPr>
          <w:rFonts w:cs="Arial"/>
          <w:i/>
          <w:color w:val="000000"/>
          <w:szCs w:val="20"/>
        </w:rPr>
        <w:t>.</w:t>
      </w:r>
    </w:p>
    <w:p w:rsidR="00766385" w:rsidRPr="00766385" w:rsidRDefault="00661300" w:rsidP="00766385">
      <w:pPr>
        <w:numPr>
          <w:ilvl w:val="1"/>
          <w:numId w:val="16"/>
        </w:numPr>
        <w:tabs>
          <w:tab w:val="left" w:pos="851"/>
        </w:tabs>
        <w:spacing w:after="120"/>
        <w:ind w:left="851" w:right="23" w:hanging="567"/>
        <w:rPr>
          <w:rFonts w:cs="Arial"/>
          <w:color w:val="000000"/>
          <w:szCs w:val="20"/>
        </w:rPr>
      </w:pPr>
      <w:r>
        <w:rPr>
          <w:rFonts w:cs="Arial"/>
          <w:color w:val="000000"/>
          <w:szCs w:val="20"/>
        </w:rPr>
        <w:t>S</w:t>
      </w:r>
      <w:r w:rsidR="00766385" w:rsidRPr="00766385">
        <w:rPr>
          <w:rFonts w:cs="Arial"/>
          <w:color w:val="000000"/>
          <w:szCs w:val="20"/>
        </w:rPr>
        <w:t>ubmits the Amendment to the Minister for Planning for approval.</w:t>
      </w:r>
    </w:p>
    <w:p w:rsidR="00180411" w:rsidRPr="00A614DB" w:rsidRDefault="00180411" w:rsidP="004F523B">
      <w:pPr>
        <w:pStyle w:val="Heading2"/>
        <w:spacing w:after="120"/>
        <w:rPr>
          <w:rFonts w:hint="eastAsia"/>
        </w:rPr>
      </w:pPr>
      <w:r w:rsidRPr="00A614DB">
        <w:t>Agenda item 6.2</w:t>
      </w:r>
    </w:p>
    <w:p w:rsidR="004F523B" w:rsidRPr="0088404F" w:rsidRDefault="0088404F" w:rsidP="004621C2">
      <w:pPr>
        <w:pStyle w:val="Bold"/>
        <w:rPr>
          <w:rFonts w:ascii="Arial Bold" w:eastAsia="MS Gothic" w:hAnsi="Arial Bold" w:hint="eastAsia"/>
          <w:b w:val="0"/>
          <w:bCs/>
          <w:sz w:val="22"/>
          <w:szCs w:val="22"/>
          <w:lang w:val="en-US"/>
        </w:rPr>
      </w:pPr>
      <w:r w:rsidRPr="0088404F">
        <w:rPr>
          <w:rFonts w:cs="Arial"/>
          <w:sz w:val="22"/>
          <w:szCs w:val="22"/>
        </w:rPr>
        <w:t xml:space="preserve">Planning Permit Application: TP- 2016-241 92-102 &amp; 104-108 Hawke Street, West Melbourne  </w:t>
      </w:r>
    </w:p>
    <w:p w:rsidR="004621C2" w:rsidRDefault="00180411" w:rsidP="004621C2">
      <w:pPr>
        <w:pStyle w:val="Bold"/>
      </w:pPr>
      <w:r w:rsidRPr="00A614DB">
        <w:t>Resolved:</w:t>
      </w:r>
    </w:p>
    <w:p w:rsidR="00766385" w:rsidRPr="000B5E24" w:rsidRDefault="00766385" w:rsidP="000B5E24">
      <w:pPr>
        <w:autoSpaceDE w:val="0"/>
        <w:autoSpaceDN w:val="0"/>
        <w:adjustRightInd w:val="0"/>
        <w:spacing w:after="0" w:line="240" w:lineRule="auto"/>
        <w:rPr>
          <w:rFonts w:eastAsia="Calibri" w:cs="Arial"/>
          <w:szCs w:val="20"/>
          <w:lang w:eastAsia="en-AU"/>
        </w:rPr>
      </w:pPr>
      <w:r w:rsidRPr="000B5E24">
        <w:rPr>
          <w:rFonts w:eastAsia="Calibri" w:cs="Arial"/>
          <w:szCs w:val="20"/>
          <w:lang w:eastAsia="en-AU"/>
        </w:rPr>
        <w:t>That the Future Melbourne Committee resolves that a Planning Permit be issued subject to the conditions set out in the delegate report (refer to Attachment 4 of the report from management).</w:t>
      </w:r>
    </w:p>
    <w:p w:rsidR="00180411" w:rsidRPr="00A614DB" w:rsidRDefault="00180411" w:rsidP="00180411">
      <w:pPr>
        <w:pStyle w:val="Heading2"/>
        <w:spacing w:after="120"/>
        <w:rPr>
          <w:rFonts w:hint="eastAsia"/>
        </w:rPr>
      </w:pPr>
      <w:r w:rsidRPr="00A614DB">
        <w:t>Agenda item 6.3</w:t>
      </w:r>
    </w:p>
    <w:p w:rsidR="004F523B" w:rsidRDefault="0088404F" w:rsidP="00144695">
      <w:pPr>
        <w:pStyle w:val="Bold"/>
        <w:rPr>
          <w:rFonts w:ascii="Arial Bold" w:eastAsia="MS Gothic" w:hAnsi="Arial Bold" w:hint="eastAsia"/>
          <w:b w:val="0"/>
          <w:bCs/>
          <w:sz w:val="22"/>
          <w:szCs w:val="26"/>
          <w:lang w:val="en-US"/>
        </w:rPr>
      </w:pPr>
      <w:r w:rsidRPr="0088404F">
        <w:rPr>
          <w:rFonts w:ascii="Arial Bold" w:eastAsia="MS Gothic" w:hAnsi="Arial Bold"/>
          <w:b w:val="0"/>
          <w:bCs/>
          <w:sz w:val="22"/>
          <w:szCs w:val="26"/>
          <w:lang w:val="en-US"/>
        </w:rPr>
        <w:t>Draft Urban Ecology and Biodiversity Strategy</w:t>
      </w:r>
    </w:p>
    <w:p w:rsidR="00144695" w:rsidRPr="00A614DB" w:rsidRDefault="00144695" w:rsidP="00144695">
      <w:pPr>
        <w:pStyle w:val="Bold"/>
      </w:pPr>
      <w:r w:rsidRPr="00A614DB">
        <w:t>Resolved:</w:t>
      </w:r>
    </w:p>
    <w:p w:rsidR="000B5E24" w:rsidRPr="000B5E24" w:rsidRDefault="000B5E24" w:rsidP="000B5E24">
      <w:pPr>
        <w:numPr>
          <w:ilvl w:val="0"/>
          <w:numId w:val="22"/>
        </w:numPr>
        <w:spacing w:after="120"/>
        <w:ind w:left="284" w:right="23" w:hanging="284"/>
        <w:rPr>
          <w:rFonts w:cs="Arial"/>
          <w:color w:val="000000"/>
          <w:szCs w:val="20"/>
        </w:rPr>
      </w:pPr>
      <w:r w:rsidRPr="000B5E24">
        <w:rPr>
          <w:rFonts w:cs="Arial"/>
          <w:color w:val="000000"/>
          <w:szCs w:val="20"/>
        </w:rPr>
        <w:t>That the Future Melbourne Committee:</w:t>
      </w:r>
    </w:p>
    <w:p w:rsidR="000B5E24" w:rsidRPr="000B5E24" w:rsidRDefault="00661300" w:rsidP="000B5E24">
      <w:pPr>
        <w:numPr>
          <w:ilvl w:val="1"/>
          <w:numId w:val="21"/>
        </w:numPr>
        <w:tabs>
          <w:tab w:val="left" w:pos="851"/>
        </w:tabs>
        <w:spacing w:after="120"/>
        <w:ind w:right="23" w:hanging="796"/>
        <w:rPr>
          <w:rFonts w:cs="Arial"/>
          <w:color w:val="000000"/>
          <w:szCs w:val="20"/>
        </w:rPr>
      </w:pPr>
      <w:r>
        <w:rPr>
          <w:rFonts w:cs="Arial"/>
          <w:color w:val="000000"/>
          <w:szCs w:val="20"/>
        </w:rPr>
        <w:t>En</w:t>
      </w:r>
      <w:r w:rsidR="000B5E24" w:rsidRPr="000B5E24">
        <w:rPr>
          <w:rFonts w:cs="Arial"/>
          <w:color w:val="000000"/>
          <w:szCs w:val="20"/>
        </w:rPr>
        <w:t>dorses the draft Urban Ecology and Biodiversity Strategy to be released for community consultation</w:t>
      </w:r>
      <w:r>
        <w:rPr>
          <w:rFonts w:cs="Arial"/>
          <w:color w:val="000000"/>
          <w:szCs w:val="20"/>
        </w:rPr>
        <w:t>.</w:t>
      </w:r>
    </w:p>
    <w:p w:rsidR="0050588C" w:rsidRPr="000B5E24" w:rsidRDefault="00661300" w:rsidP="000B5E24">
      <w:pPr>
        <w:numPr>
          <w:ilvl w:val="1"/>
          <w:numId w:val="21"/>
        </w:numPr>
        <w:tabs>
          <w:tab w:val="left" w:pos="851"/>
        </w:tabs>
        <w:spacing w:after="120"/>
        <w:ind w:left="851" w:right="23" w:hanging="567"/>
        <w:rPr>
          <w:rFonts w:cs="Arial"/>
          <w:color w:val="000000"/>
          <w:szCs w:val="20"/>
        </w:rPr>
      </w:pPr>
      <w:r>
        <w:rPr>
          <w:rFonts w:cs="Arial"/>
          <w:color w:val="000000"/>
          <w:szCs w:val="20"/>
        </w:rPr>
        <w:t>N</w:t>
      </w:r>
      <w:r w:rsidR="000B5E24" w:rsidRPr="000B5E24">
        <w:rPr>
          <w:rFonts w:cs="Arial"/>
          <w:color w:val="000000"/>
          <w:szCs w:val="20"/>
        </w:rPr>
        <w:t>otes that a further draft will be returned to Councillors as a report to Future Melbourne Committee for final endorsement following the consultation process.</w:t>
      </w:r>
      <w:r w:rsidR="0050588C" w:rsidRPr="000B5E24">
        <w:rPr>
          <w:rFonts w:cs="Arial"/>
          <w:color w:val="000000"/>
          <w:szCs w:val="20"/>
        </w:rPr>
        <w:t xml:space="preserve"> </w:t>
      </w:r>
    </w:p>
    <w:p w:rsidR="00FF58A4" w:rsidRPr="004F523B" w:rsidRDefault="00FF58A4" w:rsidP="004F523B">
      <w:pPr>
        <w:pStyle w:val="Heading2"/>
        <w:spacing w:after="120"/>
        <w:rPr>
          <w:rFonts w:ascii="Arial" w:eastAsia="MS Mincho" w:hAnsi="Arial" w:cs="Arial"/>
          <w:bCs w:val="0"/>
          <w:sz w:val="20"/>
          <w:szCs w:val="20"/>
          <w:lang w:val="en-AU"/>
        </w:rPr>
      </w:pPr>
      <w:r w:rsidRPr="00A614DB">
        <w:t>Agenda item 6.4</w:t>
      </w:r>
    </w:p>
    <w:p w:rsidR="0088404F" w:rsidRPr="0088404F" w:rsidRDefault="0088404F" w:rsidP="004621C2">
      <w:pPr>
        <w:pStyle w:val="Bold"/>
        <w:rPr>
          <w:sz w:val="22"/>
        </w:rPr>
      </w:pPr>
      <w:r w:rsidRPr="0088404F">
        <w:rPr>
          <w:rFonts w:cs="Arial"/>
          <w:sz w:val="22"/>
        </w:rPr>
        <w:t>Urban Forest Fund Proposal</w:t>
      </w:r>
      <w:r w:rsidRPr="0088404F">
        <w:rPr>
          <w:sz w:val="22"/>
        </w:rPr>
        <w:t xml:space="preserve"> </w:t>
      </w:r>
    </w:p>
    <w:p w:rsidR="004621C2" w:rsidRDefault="004621C2" w:rsidP="004621C2">
      <w:pPr>
        <w:pStyle w:val="Bold"/>
      </w:pPr>
      <w:r>
        <w:t>Resolved</w:t>
      </w:r>
      <w:r w:rsidR="0088404F">
        <w:t>:</w:t>
      </w:r>
    </w:p>
    <w:p w:rsidR="000B5E24" w:rsidRPr="000B5E24" w:rsidRDefault="000B5E24" w:rsidP="000B5E24">
      <w:pPr>
        <w:numPr>
          <w:ilvl w:val="0"/>
          <w:numId w:val="24"/>
        </w:numPr>
        <w:spacing w:after="120"/>
        <w:ind w:left="284" w:right="23" w:hanging="284"/>
        <w:rPr>
          <w:rFonts w:cs="Arial"/>
          <w:color w:val="000000"/>
          <w:szCs w:val="20"/>
        </w:rPr>
      </w:pPr>
      <w:r w:rsidRPr="000B5E24">
        <w:rPr>
          <w:rFonts w:cs="Arial"/>
          <w:color w:val="000000"/>
          <w:szCs w:val="20"/>
        </w:rPr>
        <w:t>That the Future Melbourne Committee:</w:t>
      </w:r>
    </w:p>
    <w:p w:rsidR="000B5E24" w:rsidRPr="000B5E24" w:rsidRDefault="00661300" w:rsidP="000B5E24">
      <w:pPr>
        <w:numPr>
          <w:ilvl w:val="1"/>
          <w:numId w:val="26"/>
        </w:numPr>
        <w:tabs>
          <w:tab w:val="left" w:pos="851"/>
        </w:tabs>
        <w:spacing w:after="120"/>
        <w:ind w:left="851" w:right="23" w:hanging="567"/>
        <w:rPr>
          <w:rFonts w:cs="Arial"/>
          <w:color w:val="000000"/>
          <w:szCs w:val="20"/>
        </w:rPr>
      </w:pPr>
      <w:r>
        <w:rPr>
          <w:rFonts w:cs="Arial"/>
          <w:color w:val="000000"/>
          <w:szCs w:val="20"/>
        </w:rPr>
        <w:t>E</w:t>
      </w:r>
      <w:r w:rsidR="000B5E24" w:rsidRPr="000B5E24">
        <w:rPr>
          <w:rFonts w:cs="Arial"/>
          <w:color w:val="000000"/>
          <w:szCs w:val="20"/>
        </w:rPr>
        <w:t>ndorses the establishment of the Urban Forest Fund as a separate general ledger account within the City of Melbourne, which will be reported upon clearly, transparently and separately to the public</w:t>
      </w:r>
      <w:r>
        <w:rPr>
          <w:rFonts w:cs="Arial"/>
          <w:color w:val="000000"/>
          <w:szCs w:val="20"/>
        </w:rPr>
        <w:t>.</w:t>
      </w:r>
    </w:p>
    <w:p w:rsidR="000B5E24" w:rsidRPr="000B5E24" w:rsidRDefault="00661300" w:rsidP="000B5E24">
      <w:pPr>
        <w:numPr>
          <w:ilvl w:val="1"/>
          <w:numId w:val="26"/>
        </w:numPr>
        <w:tabs>
          <w:tab w:val="left" w:pos="851"/>
        </w:tabs>
        <w:spacing w:after="120"/>
        <w:ind w:left="851" w:right="23" w:hanging="567"/>
        <w:rPr>
          <w:rFonts w:cs="Arial"/>
          <w:color w:val="000000"/>
          <w:szCs w:val="20"/>
        </w:rPr>
      </w:pPr>
      <w:r>
        <w:rPr>
          <w:rFonts w:cs="Arial"/>
          <w:color w:val="000000"/>
          <w:szCs w:val="20"/>
        </w:rPr>
        <w:t>N</w:t>
      </w:r>
      <w:r w:rsidR="000B5E24" w:rsidRPr="000B5E24">
        <w:rPr>
          <w:rFonts w:cs="Arial"/>
          <w:color w:val="000000"/>
          <w:szCs w:val="20"/>
        </w:rPr>
        <w:t>otes management will explore the possibility of a partnership with a third party charity to provide a tax incentive in instances where it is essential for partners.</w:t>
      </w:r>
    </w:p>
    <w:p w:rsidR="004621C2" w:rsidRPr="005A4283" w:rsidRDefault="004621C2" w:rsidP="004621C2">
      <w:pPr>
        <w:pStyle w:val="Heading2"/>
        <w:spacing w:after="120"/>
        <w:rPr>
          <w:rFonts w:hint="eastAsia"/>
        </w:rPr>
      </w:pPr>
      <w:r w:rsidRPr="005A4283">
        <w:lastRenderedPageBreak/>
        <w:t>Agenda item 6.5</w:t>
      </w:r>
    </w:p>
    <w:p w:rsidR="0088404F" w:rsidRPr="0088404F" w:rsidRDefault="0088404F" w:rsidP="0088404F">
      <w:pPr>
        <w:pStyle w:val="Bold"/>
        <w:rPr>
          <w:rFonts w:cs="Arial"/>
          <w:sz w:val="22"/>
        </w:rPr>
      </w:pPr>
      <w:r w:rsidRPr="0088404F">
        <w:rPr>
          <w:rFonts w:cs="Arial"/>
          <w:sz w:val="22"/>
        </w:rPr>
        <w:t xml:space="preserve">Waste collection in the Central City </w:t>
      </w:r>
    </w:p>
    <w:p w:rsidR="0088404F" w:rsidRDefault="0088404F" w:rsidP="0088404F">
      <w:pPr>
        <w:pStyle w:val="Bold"/>
      </w:pPr>
      <w:r>
        <w:t>Resolved:</w:t>
      </w:r>
    </w:p>
    <w:p w:rsidR="000B5E24" w:rsidRPr="000B5E24" w:rsidRDefault="000B5E24" w:rsidP="000B5E24">
      <w:pPr>
        <w:tabs>
          <w:tab w:val="left" w:pos="567"/>
        </w:tabs>
        <w:spacing w:after="240"/>
        <w:ind w:right="21"/>
        <w:rPr>
          <w:rFonts w:eastAsia="Calibri" w:cs="Arial"/>
          <w:szCs w:val="20"/>
          <w:lang w:eastAsia="en-AU"/>
        </w:rPr>
      </w:pPr>
      <w:r w:rsidRPr="000B5E24">
        <w:rPr>
          <w:rFonts w:eastAsia="Calibri" w:cs="Arial"/>
          <w:szCs w:val="20"/>
          <w:lang w:eastAsia="en-AU"/>
        </w:rPr>
        <w:t>That the Future Melbourne Committee recommends that Council includes the fee structure described in this report in the 2016-17 Annual Budget.</w:t>
      </w:r>
    </w:p>
    <w:p w:rsidR="004621C2" w:rsidRPr="00A614DB" w:rsidRDefault="004621C2" w:rsidP="004621C2">
      <w:pPr>
        <w:pStyle w:val="Heading2"/>
        <w:spacing w:after="120"/>
        <w:rPr>
          <w:rFonts w:hint="eastAsia"/>
        </w:rPr>
      </w:pPr>
      <w:r>
        <w:t>Agenda item</w:t>
      </w:r>
      <w:r w:rsidR="0088404F">
        <w:t xml:space="preserve"> 7.1</w:t>
      </w:r>
    </w:p>
    <w:p w:rsidR="008E0AD1" w:rsidRPr="0088404F" w:rsidRDefault="0088404F" w:rsidP="004621C2">
      <w:pPr>
        <w:pStyle w:val="Bold"/>
        <w:rPr>
          <w:rFonts w:ascii="Arial Bold" w:eastAsia="MS Gothic" w:hAnsi="Arial Bold" w:hint="eastAsia"/>
          <w:b w:val="0"/>
          <w:bCs/>
          <w:sz w:val="22"/>
          <w:szCs w:val="22"/>
          <w:lang w:val="en-US"/>
        </w:rPr>
      </w:pPr>
      <w:r w:rsidRPr="0088404F">
        <w:rPr>
          <w:rFonts w:cs="Arial"/>
          <w:sz w:val="22"/>
          <w:szCs w:val="22"/>
        </w:rPr>
        <w:t>Notice of Motion, Councillor Cathy Oke: Owners Corporations and Related Legislation</w:t>
      </w:r>
      <w:r w:rsidR="008E0AD1" w:rsidRPr="0088404F">
        <w:rPr>
          <w:rFonts w:ascii="Arial Bold" w:eastAsia="MS Gothic" w:hAnsi="Arial Bold"/>
          <w:b w:val="0"/>
          <w:bCs/>
          <w:sz w:val="22"/>
          <w:szCs w:val="22"/>
          <w:lang w:val="en-US"/>
        </w:rPr>
        <w:t xml:space="preserve"> </w:t>
      </w:r>
    </w:p>
    <w:p w:rsidR="004621C2" w:rsidRDefault="004621C2" w:rsidP="004621C2">
      <w:pPr>
        <w:pStyle w:val="Bold"/>
      </w:pPr>
      <w:r>
        <w:t>Resolved</w:t>
      </w:r>
      <w:r w:rsidR="0088404F">
        <w:t>:</w:t>
      </w:r>
    </w:p>
    <w:p w:rsidR="000B5E24" w:rsidRPr="000B5E24" w:rsidRDefault="000B5E24" w:rsidP="00236416">
      <w:pPr>
        <w:numPr>
          <w:ilvl w:val="0"/>
          <w:numId w:val="28"/>
        </w:numPr>
        <w:tabs>
          <w:tab w:val="left" w:pos="567"/>
        </w:tabs>
        <w:spacing w:after="120" w:line="240" w:lineRule="auto"/>
        <w:ind w:right="23" w:hanging="810"/>
        <w:rPr>
          <w:rFonts w:cs="Arial"/>
          <w:bCs/>
          <w:szCs w:val="20"/>
        </w:rPr>
      </w:pPr>
      <w:r w:rsidRPr="000B5E24">
        <w:rPr>
          <w:rFonts w:cs="Arial"/>
          <w:bCs/>
          <w:szCs w:val="20"/>
        </w:rPr>
        <w:t>That the Future Melbourne Committee</w:t>
      </w:r>
    </w:p>
    <w:p w:rsidR="000B5E24" w:rsidRPr="000B5E24" w:rsidRDefault="000B5E24" w:rsidP="00236416">
      <w:pPr>
        <w:numPr>
          <w:ilvl w:val="1"/>
          <w:numId w:val="28"/>
        </w:numPr>
        <w:tabs>
          <w:tab w:val="left" w:pos="567"/>
        </w:tabs>
        <w:spacing w:after="120" w:line="240" w:lineRule="auto"/>
        <w:ind w:right="23"/>
        <w:rPr>
          <w:rFonts w:cs="Arial"/>
          <w:bCs/>
          <w:szCs w:val="20"/>
        </w:rPr>
      </w:pPr>
      <w:r w:rsidRPr="000B5E24">
        <w:rPr>
          <w:rFonts w:cs="Arial"/>
          <w:bCs/>
          <w:szCs w:val="20"/>
        </w:rPr>
        <w:t>Notes the recent introduction to the Victorian Parliament of the Owners Corporations Amendment (Shortstay Accommodation) Bill 2016 (the Bill) which seeks to regulate the provision of short-term stay accommodation arrangements in premises affected by an owners corporation.</w:t>
      </w:r>
    </w:p>
    <w:p w:rsidR="000B5E24" w:rsidRPr="000B5E24" w:rsidRDefault="000B5E24" w:rsidP="00236416">
      <w:pPr>
        <w:numPr>
          <w:ilvl w:val="1"/>
          <w:numId w:val="28"/>
        </w:numPr>
        <w:tabs>
          <w:tab w:val="left" w:pos="567"/>
        </w:tabs>
        <w:spacing w:after="120" w:line="240" w:lineRule="auto"/>
        <w:ind w:right="23"/>
        <w:rPr>
          <w:rFonts w:cs="Arial"/>
          <w:bCs/>
          <w:szCs w:val="20"/>
        </w:rPr>
      </w:pPr>
      <w:r w:rsidRPr="000B5E24">
        <w:rPr>
          <w:rFonts w:cs="Arial"/>
          <w:bCs/>
          <w:szCs w:val="20"/>
        </w:rPr>
        <w:t>Notes that the provisions in the Bill could address the amenity issues caused by short stay accommodation.</w:t>
      </w:r>
    </w:p>
    <w:p w:rsidR="000B5E24" w:rsidRPr="000B5E24" w:rsidRDefault="000B5E24" w:rsidP="00236416">
      <w:pPr>
        <w:numPr>
          <w:ilvl w:val="1"/>
          <w:numId w:val="28"/>
        </w:numPr>
        <w:tabs>
          <w:tab w:val="left" w:pos="567"/>
        </w:tabs>
        <w:spacing w:after="120" w:line="240" w:lineRule="auto"/>
        <w:ind w:right="23"/>
        <w:rPr>
          <w:rFonts w:cs="Arial"/>
          <w:bCs/>
          <w:szCs w:val="20"/>
        </w:rPr>
      </w:pPr>
      <w:r w:rsidRPr="000B5E24">
        <w:rPr>
          <w:rFonts w:cs="Arial"/>
          <w:bCs/>
          <w:szCs w:val="20"/>
        </w:rPr>
        <w:t xml:space="preserve">Requests the </w:t>
      </w:r>
      <w:r w:rsidR="0055469D">
        <w:rPr>
          <w:rFonts w:cs="Arial"/>
          <w:bCs/>
          <w:szCs w:val="20"/>
        </w:rPr>
        <w:t>Lord Mayor</w:t>
      </w:r>
      <w:r w:rsidRPr="000B5E24">
        <w:rPr>
          <w:rFonts w:cs="Arial"/>
          <w:bCs/>
          <w:szCs w:val="20"/>
        </w:rPr>
        <w:t xml:space="preserve"> to write to the Minister for Consumer Affairs and the Minister for Planning, in support of submissions made by management, requesting them to pursue further legislative changes to improve the powers of Owners Corporations and the interplay between different legislation, in relation to matters in large, residential developments such as:</w:t>
      </w:r>
    </w:p>
    <w:p w:rsidR="000B5E24" w:rsidRPr="000B5E24" w:rsidRDefault="000B5E24" w:rsidP="00236416">
      <w:pPr>
        <w:numPr>
          <w:ilvl w:val="2"/>
          <w:numId w:val="28"/>
        </w:numPr>
        <w:tabs>
          <w:tab w:val="left" w:pos="2127"/>
        </w:tabs>
        <w:spacing w:after="120" w:line="240" w:lineRule="auto"/>
        <w:ind w:left="2127" w:right="23" w:hanging="709"/>
        <w:rPr>
          <w:rFonts w:cs="Arial"/>
          <w:bCs/>
          <w:szCs w:val="20"/>
        </w:rPr>
      </w:pPr>
      <w:r w:rsidRPr="000B5E24">
        <w:rPr>
          <w:rFonts w:cs="Arial"/>
          <w:bCs/>
          <w:szCs w:val="20"/>
        </w:rPr>
        <w:t>The ability to have works undertaken in response to issues of public and resident safety, within acceptable timeframes, especially in the event of emergency building works to private and common property i.e. in the event of flood or fire.</w:t>
      </w:r>
    </w:p>
    <w:p w:rsidR="000B5E24" w:rsidRPr="000B5E24" w:rsidRDefault="000B5E24" w:rsidP="00236416">
      <w:pPr>
        <w:numPr>
          <w:ilvl w:val="2"/>
          <w:numId w:val="28"/>
        </w:numPr>
        <w:tabs>
          <w:tab w:val="left" w:pos="2127"/>
        </w:tabs>
        <w:spacing w:after="120" w:line="240" w:lineRule="auto"/>
        <w:ind w:left="2127" w:right="23" w:hanging="709"/>
        <w:rPr>
          <w:rFonts w:cs="Arial"/>
          <w:bCs/>
          <w:szCs w:val="20"/>
        </w:rPr>
      </w:pPr>
      <w:r w:rsidRPr="000B5E24">
        <w:rPr>
          <w:rFonts w:cs="Arial"/>
          <w:bCs/>
          <w:szCs w:val="20"/>
        </w:rPr>
        <w:t>The need for improved emergency planning and management from the perspective of owners, occupiers and government agencies</w:t>
      </w:r>
      <w:r w:rsidR="00661300">
        <w:rPr>
          <w:rFonts w:cs="Arial"/>
          <w:bCs/>
          <w:szCs w:val="20"/>
        </w:rPr>
        <w:t>.</w:t>
      </w:r>
    </w:p>
    <w:p w:rsidR="000B5E24" w:rsidRPr="000B5E24" w:rsidRDefault="000B5E24" w:rsidP="00236416">
      <w:pPr>
        <w:numPr>
          <w:ilvl w:val="2"/>
          <w:numId w:val="28"/>
        </w:numPr>
        <w:tabs>
          <w:tab w:val="left" w:pos="2127"/>
        </w:tabs>
        <w:spacing w:after="120" w:line="240" w:lineRule="auto"/>
        <w:ind w:left="2127" w:right="23" w:hanging="709"/>
        <w:rPr>
          <w:rFonts w:cs="Arial"/>
          <w:bCs/>
          <w:szCs w:val="20"/>
        </w:rPr>
      </w:pPr>
      <w:r w:rsidRPr="000B5E24">
        <w:rPr>
          <w:rFonts w:cs="Arial"/>
          <w:bCs/>
          <w:szCs w:val="20"/>
        </w:rPr>
        <w:t>The need to better identify and manage rooming houses and the difficulties in gaining access to investigate.</w:t>
      </w:r>
    </w:p>
    <w:p w:rsidR="008E0AD1" w:rsidRPr="000B5E24" w:rsidRDefault="000B5E24" w:rsidP="00236416">
      <w:pPr>
        <w:numPr>
          <w:ilvl w:val="2"/>
          <w:numId w:val="28"/>
        </w:numPr>
        <w:tabs>
          <w:tab w:val="left" w:pos="2127"/>
        </w:tabs>
        <w:spacing w:after="120" w:line="240" w:lineRule="auto"/>
        <w:ind w:left="2127" w:right="23" w:hanging="709"/>
        <w:rPr>
          <w:rFonts w:cs="Arial"/>
          <w:bCs/>
          <w:szCs w:val="20"/>
        </w:rPr>
      </w:pPr>
      <w:r w:rsidRPr="000B5E24">
        <w:rPr>
          <w:rFonts w:cs="Arial"/>
          <w:bCs/>
          <w:szCs w:val="20"/>
        </w:rPr>
        <w:t xml:space="preserve">The capability of Owners Corporations and owners to repair, maintain and upgrade property. </w:t>
      </w:r>
      <w:r w:rsidR="0050588C" w:rsidRPr="000B5E24">
        <w:rPr>
          <w:rFonts w:cs="Arial"/>
          <w:bCs/>
          <w:szCs w:val="20"/>
        </w:rPr>
        <w:t xml:space="preserve"> </w:t>
      </w:r>
    </w:p>
    <w:p w:rsidR="008E0AD1" w:rsidRPr="00A614DB" w:rsidRDefault="008E0AD1" w:rsidP="008E0AD1">
      <w:pPr>
        <w:pStyle w:val="Heading2"/>
        <w:spacing w:after="120"/>
        <w:rPr>
          <w:rFonts w:hint="eastAsia"/>
        </w:rPr>
      </w:pPr>
      <w:r>
        <w:t xml:space="preserve">Agenda item </w:t>
      </w:r>
      <w:r w:rsidR="0088404F">
        <w:t>7.2</w:t>
      </w:r>
    </w:p>
    <w:p w:rsidR="0088404F" w:rsidRPr="0088404F" w:rsidRDefault="0088404F" w:rsidP="008E0AD1">
      <w:pPr>
        <w:pStyle w:val="Bold"/>
        <w:rPr>
          <w:sz w:val="22"/>
        </w:rPr>
      </w:pPr>
      <w:r w:rsidRPr="0088404F">
        <w:rPr>
          <w:rFonts w:cs="Arial"/>
          <w:sz w:val="22"/>
        </w:rPr>
        <w:t>Notice of Motion, Cr Mayne: Melbourne International Flower and Garden Show Renewal of Licence</w:t>
      </w:r>
      <w:r w:rsidRPr="0088404F">
        <w:rPr>
          <w:sz w:val="22"/>
        </w:rPr>
        <w:t xml:space="preserve"> </w:t>
      </w:r>
    </w:p>
    <w:p w:rsidR="008E0AD1" w:rsidRDefault="008E0AD1" w:rsidP="008E0AD1">
      <w:pPr>
        <w:pStyle w:val="Bold"/>
      </w:pPr>
      <w:r>
        <w:t>Resolved</w:t>
      </w:r>
      <w:r w:rsidR="0088404F">
        <w:t>:</w:t>
      </w:r>
    </w:p>
    <w:p w:rsidR="00236416" w:rsidRPr="00236416" w:rsidRDefault="00236416" w:rsidP="00236416">
      <w:pPr>
        <w:numPr>
          <w:ilvl w:val="0"/>
          <w:numId w:val="29"/>
        </w:numPr>
        <w:autoSpaceDE w:val="0"/>
        <w:autoSpaceDN w:val="0"/>
        <w:adjustRightInd w:val="0"/>
        <w:spacing w:after="120" w:line="240" w:lineRule="auto"/>
        <w:ind w:left="567" w:hanging="567"/>
        <w:rPr>
          <w:rFonts w:cs="Arial"/>
          <w:szCs w:val="20"/>
        </w:rPr>
      </w:pPr>
      <w:r w:rsidRPr="00236416">
        <w:rPr>
          <w:rFonts w:cs="Arial"/>
          <w:bCs/>
          <w:szCs w:val="20"/>
        </w:rPr>
        <w:t>That the Future Melbourne Committee</w:t>
      </w:r>
      <w:r w:rsidRPr="00236416">
        <w:rPr>
          <w:rFonts w:cs="Arial"/>
          <w:szCs w:val="20"/>
        </w:rPr>
        <w:t>:</w:t>
      </w:r>
    </w:p>
    <w:p w:rsidR="00236416" w:rsidRPr="00236416" w:rsidRDefault="00236416" w:rsidP="00236416">
      <w:pPr>
        <w:numPr>
          <w:ilvl w:val="1"/>
          <w:numId w:val="29"/>
        </w:numPr>
        <w:tabs>
          <w:tab w:val="left" w:pos="1418"/>
        </w:tabs>
        <w:autoSpaceDE w:val="0"/>
        <w:autoSpaceDN w:val="0"/>
        <w:adjustRightInd w:val="0"/>
        <w:spacing w:after="120" w:line="240" w:lineRule="auto"/>
        <w:ind w:left="1418" w:hanging="851"/>
        <w:rPr>
          <w:rFonts w:eastAsia="Calibri" w:cs="Arial"/>
          <w:szCs w:val="20"/>
          <w:lang w:eastAsia="en-AU"/>
        </w:rPr>
      </w:pPr>
      <w:r w:rsidRPr="00236416">
        <w:rPr>
          <w:rFonts w:cs="Arial"/>
          <w:szCs w:val="20"/>
        </w:rPr>
        <w:t>Notes the written request (</w:t>
      </w:r>
      <w:r w:rsidR="00F10EE6">
        <w:rPr>
          <w:rFonts w:cs="Arial"/>
          <w:szCs w:val="20"/>
        </w:rPr>
        <w:t>A</w:t>
      </w:r>
      <w:r w:rsidRPr="00236416">
        <w:rPr>
          <w:rFonts w:cs="Arial"/>
          <w:szCs w:val="20"/>
        </w:rPr>
        <w:t>ttachment 1) from the sponsors and operators of the Melbourne International Flower and Garden Show (MIFGS) for a new 3 year licence to run the event in the Carlton Gardens from 2018 to 2020 with a 3 year option to extend the licence until 2023, subject to satisfactory performance.</w:t>
      </w:r>
    </w:p>
    <w:p w:rsidR="00236416" w:rsidRPr="00236416" w:rsidRDefault="00236416" w:rsidP="00101651">
      <w:pPr>
        <w:numPr>
          <w:ilvl w:val="1"/>
          <w:numId w:val="29"/>
        </w:numPr>
        <w:tabs>
          <w:tab w:val="left" w:pos="1418"/>
        </w:tabs>
        <w:autoSpaceDE w:val="0"/>
        <w:autoSpaceDN w:val="0"/>
        <w:adjustRightInd w:val="0"/>
        <w:spacing w:after="2000" w:line="240" w:lineRule="auto"/>
        <w:ind w:left="1418" w:hanging="851"/>
        <w:rPr>
          <w:rFonts w:eastAsia="Calibri" w:cs="Arial"/>
          <w:szCs w:val="20"/>
          <w:lang w:eastAsia="en-AU"/>
        </w:rPr>
      </w:pPr>
      <w:r w:rsidRPr="00236416">
        <w:rPr>
          <w:rFonts w:cs="Arial"/>
          <w:szCs w:val="20"/>
        </w:rPr>
        <w:t>In light of exemplary performance over 21 years, requests management to enter into negotiations with MIFGS for a new 6 year licence from 2018 until 2023 and bring the essential terms of the proposed licence to a Future Melbourne Committee meeting in August 2016 for approval</w:t>
      </w:r>
      <w:r w:rsidR="0055469D">
        <w:rPr>
          <w:rFonts w:cs="Arial"/>
          <w:szCs w:val="20"/>
        </w:rPr>
        <w:t xml:space="preserve"> </w:t>
      </w:r>
      <w:r w:rsidR="0055469D" w:rsidRPr="0055469D">
        <w:rPr>
          <w:rFonts w:cs="Arial"/>
          <w:szCs w:val="20"/>
        </w:rPr>
        <w:t>for consideration including assessment of the operator’s performance for 2016</w:t>
      </w:r>
      <w:r w:rsidRPr="00236416">
        <w:rPr>
          <w:rFonts w:cs="Arial"/>
          <w:szCs w:val="20"/>
        </w:rPr>
        <w:t>.</w:t>
      </w:r>
    </w:p>
    <w:p w:rsidR="008E0AD1" w:rsidRPr="00A614DB" w:rsidRDefault="008E0AD1" w:rsidP="008E0AD1">
      <w:pPr>
        <w:pStyle w:val="Heading2"/>
        <w:spacing w:after="120"/>
        <w:rPr>
          <w:rFonts w:hint="eastAsia"/>
        </w:rPr>
      </w:pPr>
      <w:r>
        <w:lastRenderedPageBreak/>
        <w:t xml:space="preserve">Agenda item </w:t>
      </w:r>
      <w:r w:rsidR="0050588C">
        <w:t>7.3</w:t>
      </w:r>
    </w:p>
    <w:p w:rsidR="0050588C" w:rsidRDefault="0050588C" w:rsidP="0050588C">
      <w:pPr>
        <w:pStyle w:val="Bold"/>
        <w:rPr>
          <w:rFonts w:cs="Arial"/>
          <w:sz w:val="22"/>
        </w:rPr>
      </w:pPr>
      <w:r w:rsidRPr="0050588C">
        <w:rPr>
          <w:rFonts w:cs="Arial"/>
          <w:sz w:val="22"/>
        </w:rPr>
        <w:t xml:space="preserve">Notice of Motion, Cr Mayne: AFL Football Clubs – Gambling Reform </w:t>
      </w:r>
    </w:p>
    <w:p w:rsidR="0050588C" w:rsidRDefault="0050588C" w:rsidP="0050588C">
      <w:pPr>
        <w:pStyle w:val="Bold"/>
      </w:pPr>
      <w:r>
        <w:t>Resolved:</w:t>
      </w:r>
    </w:p>
    <w:p w:rsidR="009F20E4" w:rsidRPr="009F20E4" w:rsidRDefault="009F20E4" w:rsidP="00101651">
      <w:pPr>
        <w:numPr>
          <w:ilvl w:val="0"/>
          <w:numId w:val="30"/>
        </w:numPr>
        <w:autoSpaceDE w:val="0"/>
        <w:autoSpaceDN w:val="0"/>
        <w:adjustRightInd w:val="0"/>
        <w:spacing w:after="120" w:line="240" w:lineRule="auto"/>
        <w:ind w:left="567" w:hanging="567"/>
        <w:rPr>
          <w:rFonts w:cs="Arial"/>
          <w:bCs/>
          <w:szCs w:val="20"/>
        </w:rPr>
      </w:pPr>
      <w:r w:rsidRPr="009F20E4">
        <w:rPr>
          <w:rFonts w:cs="Arial"/>
          <w:bCs/>
          <w:szCs w:val="20"/>
        </w:rPr>
        <w:t>That the Future Melbourne Committee:</w:t>
      </w:r>
    </w:p>
    <w:p w:rsidR="009F20E4" w:rsidRPr="009F20E4" w:rsidRDefault="009F20E4" w:rsidP="00101651">
      <w:pPr>
        <w:numPr>
          <w:ilvl w:val="1"/>
          <w:numId w:val="32"/>
        </w:numPr>
        <w:tabs>
          <w:tab w:val="left" w:pos="1418"/>
        </w:tabs>
        <w:autoSpaceDE w:val="0"/>
        <w:autoSpaceDN w:val="0"/>
        <w:adjustRightInd w:val="0"/>
        <w:spacing w:after="120" w:line="240" w:lineRule="auto"/>
        <w:ind w:left="1418" w:hanging="851"/>
        <w:rPr>
          <w:rFonts w:cs="Arial"/>
          <w:szCs w:val="20"/>
        </w:rPr>
      </w:pPr>
      <w:r w:rsidRPr="009F20E4">
        <w:rPr>
          <w:rFonts w:cs="Arial"/>
          <w:szCs w:val="20"/>
        </w:rPr>
        <w:t>Notes Council is a Tier 1 member of the Alliance for Gambling Reform</w:t>
      </w:r>
      <w:r w:rsidR="00E908C1">
        <w:rPr>
          <w:rFonts w:cs="Arial"/>
          <w:szCs w:val="20"/>
        </w:rPr>
        <w:t>.</w:t>
      </w:r>
    </w:p>
    <w:p w:rsidR="009F20E4" w:rsidRPr="009F20E4" w:rsidRDefault="009F20E4" w:rsidP="00101651">
      <w:pPr>
        <w:numPr>
          <w:ilvl w:val="1"/>
          <w:numId w:val="32"/>
        </w:numPr>
        <w:tabs>
          <w:tab w:val="left" w:pos="1418"/>
        </w:tabs>
        <w:autoSpaceDE w:val="0"/>
        <w:autoSpaceDN w:val="0"/>
        <w:adjustRightInd w:val="0"/>
        <w:spacing w:after="120" w:line="240" w:lineRule="auto"/>
        <w:ind w:left="1418" w:hanging="851"/>
        <w:rPr>
          <w:rFonts w:cs="Arial"/>
          <w:szCs w:val="20"/>
        </w:rPr>
      </w:pPr>
      <w:r w:rsidRPr="009F20E4">
        <w:rPr>
          <w:rFonts w:cs="Arial"/>
          <w:szCs w:val="20"/>
        </w:rPr>
        <w:t xml:space="preserve">Commends the North Melbourne Football Club for being the only AFL club based in Victoria (and the City of Melbourne) which </w:t>
      </w:r>
      <w:r w:rsidR="00E908C1">
        <w:rPr>
          <w:rFonts w:cs="Arial"/>
          <w:szCs w:val="20"/>
        </w:rPr>
        <w:t>has no poker machine operations.</w:t>
      </w:r>
    </w:p>
    <w:p w:rsidR="009F20E4" w:rsidRPr="009F20E4" w:rsidRDefault="009F20E4" w:rsidP="00101651">
      <w:pPr>
        <w:numPr>
          <w:ilvl w:val="1"/>
          <w:numId w:val="32"/>
        </w:numPr>
        <w:tabs>
          <w:tab w:val="left" w:pos="1418"/>
        </w:tabs>
        <w:autoSpaceDE w:val="0"/>
        <w:autoSpaceDN w:val="0"/>
        <w:adjustRightInd w:val="0"/>
        <w:spacing w:after="120" w:line="240" w:lineRule="auto"/>
        <w:ind w:left="1418" w:hanging="851"/>
        <w:rPr>
          <w:rFonts w:cs="Arial"/>
          <w:szCs w:val="20"/>
        </w:rPr>
      </w:pPr>
      <w:r w:rsidRPr="009F20E4">
        <w:rPr>
          <w:rFonts w:cs="Arial"/>
          <w:szCs w:val="20"/>
        </w:rPr>
        <w:t xml:space="preserve">Requests the AFL to develop a funding support plan to encourage all AFL clubs to transition away </w:t>
      </w:r>
      <w:r w:rsidR="00E908C1">
        <w:rPr>
          <w:rFonts w:cs="Arial"/>
          <w:szCs w:val="20"/>
        </w:rPr>
        <w:t>from reliance on poker machines.</w:t>
      </w:r>
    </w:p>
    <w:p w:rsidR="0050588C" w:rsidRDefault="009F20E4" w:rsidP="00DD2BE7">
      <w:pPr>
        <w:numPr>
          <w:ilvl w:val="1"/>
          <w:numId w:val="32"/>
        </w:numPr>
        <w:tabs>
          <w:tab w:val="left" w:pos="1418"/>
        </w:tabs>
        <w:autoSpaceDE w:val="0"/>
        <w:autoSpaceDN w:val="0"/>
        <w:adjustRightInd w:val="0"/>
        <w:spacing w:after="120" w:line="240" w:lineRule="auto"/>
        <w:ind w:left="1418" w:hanging="851"/>
        <w:rPr>
          <w:rFonts w:cs="Arial"/>
          <w:szCs w:val="20"/>
        </w:rPr>
      </w:pPr>
      <w:r w:rsidRPr="00101651">
        <w:rPr>
          <w:rFonts w:cs="Arial"/>
          <w:szCs w:val="20"/>
        </w:rPr>
        <w:t>Authorises</w:t>
      </w:r>
      <w:r w:rsidR="00E908C1">
        <w:rPr>
          <w:rFonts w:cs="Arial"/>
          <w:szCs w:val="20"/>
        </w:rPr>
        <w:t xml:space="preserve"> the Chief Executive officer</w:t>
      </w:r>
      <w:r w:rsidRPr="00101651">
        <w:rPr>
          <w:rFonts w:cs="Arial"/>
          <w:szCs w:val="20"/>
        </w:rPr>
        <w:t xml:space="preserve"> to write to the AFL and the individual Victorian clubs with poker machines informing them of Council’s position and the desirability of exiting the industry.</w:t>
      </w:r>
    </w:p>
    <w:p w:rsidR="00E908C1" w:rsidRPr="00101651" w:rsidRDefault="00E908C1" w:rsidP="00DD2BE7">
      <w:pPr>
        <w:numPr>
          <w:ilvl w:val="1"/>
          <w:numId w:val="32"/>
        </w:numPr>
        <w:tabs>
          <w:tab w:val="left" w:pos="1418"/>
        </w:tabs>
        <w:autoSpaceDE w:val="0"/>
        <w:autoSpaceDN w:val="0"/>
        <w:adjustRightInd w:val="0"/>
        <w:spacing w:after="120" w:line="240" w:lineRule="auto"/>
        <w:ind w:left="1418" w:hanging="851"/>
        <w:rPr>
          <w:rFonts w:cs="Arial"/>
          <w:szCs w:val="20"/>
        </w:rPr>
      </w:pPr>
      <w:r w:rsidRPr="00E908C1">
        <w:rPr>
          <w:rFonts w:cs="Arial"/>
          <w:szCs w:val="20"/>
        </w:rPr>
        <w:t>Request management to include a condition on all future City of Melbourne funding arrangements with AFL Clubs which seeks to reduce their reliance on poker machines</w:t>
      </w:r>
      <w:r>
        <w:rPr>
          <w:rFonts w:cs="Arial"/>
          <w:szCs w:val="20"/>
        </w:rPr>
        <w:t>.</w:t>
      </w:r>
    </w:p>
    <w:sectPr w:rsidR="00E908C1" w:rsidRPr="00101651" w:rsidSect="00A614DB">
      <w:pgSz w:w="11906" w:h="16838"/>
      <w:pgMar w:top="709"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780"/>
    <w:multiLevelType w:val="multilevel"/>
    <w:tmpl w:val="968845C6"/>
    <w:lvl w:ilvl="0">
      <w:start w:val="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1">
    <w:nsid w:val="0A3011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2A0B39"/>
    <w:multiLevelType w:val="multilevel"/>
    <w:tmpl w:val="0B421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0D825D38"/>
    <w:multiLevelType w:val="multilevel"/>
    <w:tmpl w:val="0B421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
    <w:nsid w:val="0E421A0A"/>
    <w:multiLevelType w:val="multilevel"/>
    <w:tmpl w:val="46C66E4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E542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F16C5"/>
    <w:multiLevelType w:val="multilevel"/>
    <w:tmpl w:val="C592E5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6120" w:hanging="3240"/>
      </w:pPr>
      <w:rPr>
        <w:rFonts w:hint="default"/>
      </w:rPr>
    </w:lvl>
  </w:abstractNum>
  <w:abstractNum w:abstractNumId="7">
    <w:nsid w:val="1A2D78A1"/>
    <w:multiLevelType w:val="multilevel"/>
    <w:tmpl w:val="DC82F030"/>
    <w:lvl w:ilvl="0">
      <w:start w:val="8"/>
      <w:numFmt w:val="decimal"/>
      <w:lvlText w:val="%1."/>
      <w:lvlJc w:val="left"/>
      <w:pPr>
        <w:ind w:left="927" w:hanging="360"/>
      </w:pPr>
      <w:rPr>
        <w:rFonts w:ascii="Arial" w:hAnsi="Arial" w:cs="Arial" w:hint="default"/>
        <w:b w:val="0"/>
        <w:sz w:val="40"/>
        <w:szCs w:val="4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8">
    <w:nsid w:val="1DAF7EA5"/>
    <w:multiLevelType w:val="multilevel"/>
    <w:tmpl w:val="DFC89390"/>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ascii="Arial" w:hAnsi="Arial" w:cs="Arial" w:hint="default"/>
        <w:b w:val="0"/>
        <w:sz w:val="40"/>
        <w:szCs w:val="4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9">
    <w:nsid w:val="2B0816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1A303A"/>
    <w:multiLevelType w:val="multilevel"/>
    <w:tmpl w:val="D82ED8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F7A0BAC"/>
    <w:multiLevelType w:val="multilevel"/>
    <w:tmpl w:val="C592E5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96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400" w:hanging="2880"/>
      </w:pPr>
      <w:rPr>
        <w:rFonts w:hint="default"/>
      </w:rPr>
    </w:lvl>
    <w:lvl w:ilvl="8">
      <w:start w:val="1"/>
      <w:numFmt w:val="decimal"/>
      <w:isLgl/>
      <w:lvlText w:val="%1.%2.%3.%4.%5.%6.%7.%8.%9"/>
      <w:lvlJc w:val="left"/>
      <w:pPr>
        <w:ind w:left="6120" w:hanging="3240"/>
      </w:pPr>
      <w:rPr>
        <w:rFonts w:hint="default"/>
      </w:rPr>
    </w:lvl>
  </w:abstractNum>
  <w:abstractNum w:abstractNumId="12">
    <w:nsid w:val="39FB0EB2"/>
    <w:multiLevelType w:val="multilevel"/>
    <w:tmpl w:val="0B421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nsid w:val="3AA626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5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412639"/>
    <w:multiLevelType w:val="multilevel"/>
    <w:tmpl w:val="28DA95D8"/>
    <w:lvl w:ilvl="0">
      <w:start w:val="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nsid w:val="47DD38FD"/>
    <w:multiLevelType w:val="multilevel"/>
    <w:tmpl w:val="0B421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7">
    <w:nsid w:val="4CD248D5"/>
    <w:multiLevelType w:val="multilevel"/>
    <w:tmpl w:val="D83ACCF2"/>
    <w:lvl w:ilvl="0">
      <w:start w:val="1"/>
      <w:numFmt w:val="decimal"/>
      <w:lvlText w:val="%1."/>
      <w:lvlJc w:val="left"/>
      <w:pPr>
        <w:ind w:left="810" w:hanging="450"/>
      </w:pPr>
      <w:rPr>
        <w:rFonts w:hint="default"/>
      </w:rPr>
    </w:lvl>
    <w:lvl w:ilvl="1">
      <w:start w:val="1"/>
      <w:numFmt w:val="decimal"/>
      <w:isLgl/>
      <w:lvlText w:val="%1.%2"/>
      <w:lvlJc w:val="left"/>
      <w:pPr>
        <w:ind w:left="1362" w:hanging="795"/>
      </w:pPr>
      <w:rPr>
        <w:rFonts w:hint="default"/>
      </w:rPr>
    </w:lvl>
    <w:lvl w:ilvl="2">
      <w:start w:val="1"/>
      <w:numFmt w:val="decimal"/>
      <w:isLgl/>
      <w:lvlText w:val="%1.%2.%3"/>
      <w:lvlJc w:val="left"/>
      <w:pPr>
        <w:ind w:left="1854" w:hanging="1080"/>
      </w:pPr>
      <w:rPr>
        <w:rFonts w:ascii="Arial" w:hAnsi="Arial" w:cs="Arial" w:hint="default"/>
        <w:b w:val="0"/>
        <w:sz w:val="20"/>
        <w:szCs w:val="20"/>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18">
    <w:nsid w:val="55EE5EF3"/>
    <w:multiLevelType w:val="multilevel"/>
    <w:tmpl w:val="C37E6054"/>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ascii="Arial" w:hAnsi="Arial" w:cs="Arial" w:hint="default"/>
        <w:b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9">
    <w:nsid w:val="59F26A38"/>
    <w:multiLevelType w:val="multilevel"/>
    <w:tmpl w:val="0B421F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0">
    <w:nsid w:val="5CE051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1F2EAE"/>
    <w:multiLevelType w:val="hybridMultilevel"/>
    <w:tmpl w:val="2A28A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5180784"/>
    <w:multiLevelType w:val="multilevel"/>
    <w:tmpl w:val="AD96F1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BD5EC2"/>
    <w:multiLevelType w:val="multilevel"/>
    <w:tmpl w:val="28DA95D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4">
    <w:nsid w:val="66F91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000D3C"/>
    <w:multiLevelType w:val="multilevel"/>
    <w:tmpl w:val="3DB2496E"/>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ascii="Arial" w:hAnsi="Arial" w:cs="Arial" w:hint="default"/>
        <w:b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6">
    <w:nsid w:val="69813D7C"/>
    <w:multiLevelType w:val="multilevel"/>
    <w:tmpl w:val="CE88D1BE"/>
    <w:lvl w:ilvl="0">
      <w:start w:val="7"/>
      <w:numFmt w:val="decimal"/>
      <w:lvlText w:val="%1."/>
      <w:lvlJc w:val="left"/>
      <w:pPr>
        <w:ind w:left="927" w:hanging="360"/>
      </w:pPr>
      <w:rPr>
        <w:rFonts w:ascii="Arial" w:hAnsi="Arial" w:cs="Arial" w:hint="default"/>
        <w:b w:val="0"/>
        <w:sz w:val="40"/>
        <w:szCs w:val="4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7">
    <w:nsid w:val="6B7534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E12798"/>
    <w:multiLevelType w:val="multilevel"/>
    <w:tmpl w:val="86EA59BC"/>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29">
    <w:nsid w:val="71911B73"/>
    <w:multiLevelType w:val="multilevel"/>
    <w:tmpl w:val="3DB2496E"/>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ascii="Arial" w:hAnsi="Arial" w:cs="Arial" w:hint="default"/>
        <w:b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0">
    <w:nsid w:val="76DD5983"/>
    <w:multiLevelType w:val="multilevel"/>
    <w:tmpl w:val="9DB6E6D2"/>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31">
    <w:nsid w:val="7AEB50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5"/>
  </w:num>
  <w:num w:numId="3">
    <w:abstractNumId w:val="31"/>
  </w:num>
  <w:num w:numId="4">
    <w:abstractNumId w:val="20"/>
  </w:num>
  <w:num w:numId="5">
    <w:abstractNumId w:val="9"/>
  </w:num>
  <w:num w:numId="6">
    <w:abstractNumId w:val="14"/>
  </w:num>
  <w:num w:numId="7">
    <w:abstractNumId w:val="24"/>
  </w:num>
  <w:num w:numId="8">
    <w:abstractNumId w:val="22"/>
  </w:num>
  <w:num w:numId="9">
    <w:abstractNumId w:val="26"/>
  </w:num>
  <w:num w:numId="10">
    <w:abstractNumId w:val="27"/>
  </w:num>
  <w:num w:numId="11">
    <w:abstractNumId w:val="11"/>
  </w:num>
  <w:num w:numId="12">
    <w:abstractNumId w:val="6"/>
  </w:num>
  <w:num w:numId="13">
    <w:abstractNumId w:val="1"/>
  </w:num>
  <w:num w:numId="14">
    <w:abstractNumId w:val="28"/>
  </w:num>
  <w:num w:numId="15">
    <w:abstractNumId w:val="13"/>
  </w:num>
  <w:num w:numId="16">
    <w:abstractNumId w:val="3"/>
  </w:num>
  <w:num w:numId="17">
    <w:abstractNumId w:val="4"/>
  </w:num>
  <w:num w:numId="18">
    <w:abstractNumId w:val="10"/>
  </w:num>
  <w:num w:numId="19">
    <w:abstractNumId w:val="15"/>
  </w:num>
  <w:num w:numId="20">
    <w:abstractNumId w:val="23"/>
  </w:num>
  <w:num w:numId="21">
    <w:abstractNumId w:val="2"/>
  </w:num>
  <w:num w:numId="22">
    <w:abstractNumId w:val="12"/>
  </w:num>
  <w:num w:numId="23">
    <w:abstractNumId w:val="0"/>
  </w:num>
  <w:num w:numId="24">
    <w:abstractNumId w:val="19"/>
  </w:num>
  <w:num w:numId="25">
    <w:abstractNumId w:val="30"/>
  </w:num>
  <w:num w:numId="26">
    <w:abstractNumId w:val="16"/>
  </w:num>
  <w:num w:numId="27">
    <w:abstractNumId w:val="7"/>
  </w:num>
  <w:num w:numId="28">
    <w:abstractNumId w:val="17"/>
  </w:num>
  <w:num w:numId="29">
    <w:abstractNumId w:val="29"/>
  </w:num>
  <w:num w:numId="30">
    <w:abstractNumId w:val="8"/>
  </w:num>
  <w:num w:numId="31">
    <w:abstractNumId w:val="18"/>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1"/>
    <w:rsid w:val="00006D75"/>
    <w:rsid w:val="00012321"/>
    <w:rsid w:val="00054D81"/>
    <w:rsid w:val="00072770"/>
    <w:rsid w:val="00074B1E"/>
    <w:rsid w:val="000854C2"/>
    <w:rsid w:val="000B5E24"/>
    <w:rsid w:val="000B7C83"/>
    <w:rsid w:val="000E4887"/>
    <w:rsid w:val="00101651"/>
    <w:rsid w:val="00144695"/>
    <w:rsid w:val="001714E6"/>
    <w:rsid w:val="00176201"/>
    <w:rsid w:val="00180411"/>
    <w:rsid w:val="001D108E"/>
    <w:rsid w:val="001F7FD9"/>
    <w:rsid w:val="00236416"/>
    <w:rsid w:val="002872D5"/>
    <w:rsid w:val="002C10B7"/>
    <w:rsid w:val="002D0335"/>
    <w:rsid w:val="002F015B"/>
    <w:rsid w:val="003005A3"/>
    <w:rsid w:val="00301556"/>
    <w:rsid w:val="00331480"/>
    <w:rsid w:val="00356E3B"/>
    <w:rsid w:val="00383144"/>
    <w:rsid w:val="003C402A"/>
    <w:rsid w:val="003D2F08"/>
    <w:rsid w:val="0043143B"/>
    <w:rsid w:val="00450D95"/>
    <w:rsid w:val="004621C2"/>
    <w:rsid w:val="004949C5"/>
    <w:rsid w:val="004F523B"/>
    <w:rsid w:val="004F57C3"/>
    <w:rsid w:val="0050588C"/>
    <w:rsid w:val="00536B60"/>
    <w:rsid w:val="0055205F"/>
    <w:rsid w:val="0055469D"/>
    <w:rsid w:val="00561E8A"/>
    <w:rsid w:val="00575063"/>
    <w:rsid w:val="0059529E"/>
    <w:rsid w:val="005A4283"/>
    <w:rsid w:val="005A50A6"/>
    <w:rsid w:val="005F3710"/>
    <w:rsid w:val="005F5724"/>
    <w:rsid w:val="00610744"/>
    <w:rsid w:val="00661300"/>
    <w:rsid w:val="006741DD"/>
    <w:rsid w:val="006A19AD"/>
    <w:rsid w:val="006A74B9"/>
    <w:rsid w:val="006B1118"/>
    <w:rsid w:val="00726026"/>
    <w:rsid w:val="00741FED"/>
    <w:rsid w:val="0074575E"/>
    <w:rsid w:val="00764A0E"/>
    <w:rsid w:val="00766385"/>
    <w:rsid w:val="008044EC"/>
    <w:rsid w:val="0083613F"/>
    <w:rsid w:val="0088404F"/>
    <w:rsid w:val="008B0EAC"/>
    <w:rsid w:val="008B5EC2"/>
    <w:rsid w:val="008C57A6"/>
    <w:rsid w:val="008D0E1A"/>
    <w:rsid w:val="008E0AD1"/>
    <w:rsid w:val="00932A2C"/>
    <w:rsid w:val="00936875"/>
    <w:rsid w:val="00993849"/>
    <w:rsid w:val="009F20E4"/>
    <w:rsid w:val="00A10920"/>
    <w:rsid w:val="00A13933"/>
    <w:rsid w:val="00A16F39"/>
    <w:rsid w:val="00A30DBA"/>
    <w:rsid w:val="00A3640C"/>
    <w:rsid w:val="00A614DB"/>
    <w:rsid w:val="00A91287"/>
    <w:rsid w:val="00AD4D9D"/>
    <w:rsid w:val="00B335B8"/>
    <w:rsid w:val="00B5324C"/>
    <w:rsid w:val="00BA0C1A"/>
    <w:rsid w:val="00C600F3"/>
    <w:rsid w:val="00C705A8"/>
    <w:rsid w:val="00C742CD"/>
    <w:rsid w:val="00C863DF"/>
    <w:rsid w:val="00CB5B01"/>
    <w:rsid w:val="00CB710F"/>
    <w:rsid w:val="00CF085A"/>
    <w:rsid w:val="00D177E0"/>
    <w:rsid w:val="00D87052"/>
    <w:rsid w:val="00DB52B7"/>
    <w:rsid w:val="00DC352C"/>
    <w:rsid w:val="00DD2BE7"/>
    <w:rsid w:val="00DF0B99"/>
    <w:rsid w:val="00E1788E"/>
    <w:rsid w:val="00E25CE3"/>
    <w:rsid w:val="00E908C1"/>
    <w:rsid w:val="00EB1073"/>
    <w:rsid w:val="00EC3911"/>
    <w:rsid w:val="00EE4762"/>
    <w:rsid w:val="00F10EE6"/>
    <w:rsid w:val="00F32C77"/>
    <w:rsid w:val="00F62E29"/>
    <w:rsid w:val="00FB7EA0"/>
    <w:rsid w:val="00FE7A6A"/>
    <w:rsid w:val="00FF5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11"/>
    <w:pPr>
      <w:spacing w:after="200" w:line="276" w:lineRule="auto"/>
    </w:pPr>
    <w:rPr>
      <w:rFonts w:eastAsia="MS Mincho"/>
      <w:szCs w:val="24"/>
      <w:lang w:eastAsia="en-US"/>
    </w:rPr>
  </w:style>
  <w:style w:type="paragraph" w:styleId="Heading1">
    <w:name w:val="heading 1"/>
    <w:next w:val="Normal"/>
    <w:link w:val="Heading1Char"/>
    <w:qFormat/>
    <w:rsid w:val="0018041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180411"/>
    <w:pPr>
      <w:spacing w:before="320" w:after="200" w:line="276" w:lineRule="auto"/>
      <w:outlineLvl w:val="1"/>
    </w:pPr>
    <w:rPr>
      <w:rFonts w:ascii="Arial Bold" w:eastAsia="MS Gothic" w:hAnsi="Arial Bold"/>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11"/>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180411"/>
    <w:rPr>
      <w:rFonts w:ascii="Arial Bold" w:eastAsia="MS Gothic" w:hAnsi="Arial Bold"/>
      <w:bCs/>
      <w:sz w:val="24"/>
      <w:szCs w:val="26"/>
      <w:lang w:val="en-US" w:eastAsia="en-US"/>
    </w:rPr>
  </w:style>
  <w:style w:type="paragraph" w:customStyle="1" w:styleId="Bold">
    <w:name w:val="Bold"/>
    <w:basedOn w:val="Normal"/>
    <w:next w:val="Normal"/>
    <w:link w:val="BoldChar"/>
    <w:qFormat/>
    <w:rsid w:val="00180411"/>
    <w:rPr>
      <w:b/>
    </w:rPr>
  </w:style>
  <w:style w:type="character" w:customStyle="1" w:styleId="BoldChar">
    <w:name w:val="Bold Char"/>
    <w:link w:val="Bold"/>
    <w:rsid w:val="00180411"/>
    <w:rPr>
      <w:rFonts w:eastAsia="MS Mincho"/>
      <w:b/>
      <w:szCs w:val="24"/>
      <w:lang w:eastAsia="en-US"/>
    </w:rPr>
  </w:style>
  <w:style w:type="paragraph" w:styleId="ListParagraph">
    <w:name w:val="List Paragraph"/>
    <w:basedOn w:val="Normal"/>
    <w:uiPriority w:val="34"/>
    <w:qFormat/>
    <w:rsid w:val="00180411"/>
    <w:pPr>
      <w:ind w:left="720"/>
      <w:contextualSpacing/>
    </w:pPr>
  </w:style>
  <w:style w:type="paragraph" w:styleId="BalloonText">
    <w:name w:val="Balloon Text"/>
    <w:basedOn w:val="Normal"/>
    <w:link w:val="BalloonTextChar"/>
    <w:uiPriority w:val="99"/>
    <w:semiHidden/>
    <w:unhideWhenUsed/>
    <w:rsid w:val="00F3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7"/>
    <w:rPr>
      <w:rFonts w:ascii="Tahoma" w:eastAsia="MS Mincho" w:hAnsi="Tahoma" w:cs="Tahoma"/>
      <w:sz w:val="16"/>
      <w:szCs w:val="16"/>
      <w:lang w:eastAsia="en-US"/>
    </w:rPr>
  </w:style>
  <w:style w:type="paragraph" w:styleId="EndnoteText">
    <w:name w:val="endnote text"/>
    <w:basedOn w:val="Normal"/>
    <w:link w:val="EndnoteTextChar"/>
    <w:unhideWhenUsed/>
    <w:rsid w:val="00FF58A4"/>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rsid w:val="00FF58A4"/>
    <w:rPr>
      <w:rFonts w:ascii="Times New Roman" w:eastAsia="Times New Roman" w:hAnsi="Times New Roman"/>
      <w:lang w:eastAsia="en-US"/>
    </w:rPr>
  </w:style>
  <w:style w:type="paragraph" w:styleId="Header">
    <w:name w:val="header"/>
    <w:basedOn w:val="Normal"/>
    <w:link w:val="HeaderChar"/>
    <w:rsid w:val="00012321"/>
    <w:pPr>
      <w:tabs>
        <w:tab w:val="left" w:pos="1134"/>
        <w:tab w:val="center" w:pos="4153"/>
        <w:tab w:val="right" w:pos="8306"/>
      </w:tabs>
      <w:spacing w:after="0" w:line="240" w:lineRule="auto"/>
      <w:ind w:right="2409"/>
    </w:pPr>
    <w:rPr>
      <w:rFonts w:eastAsia="Times New Roman"/>
      <w:szCs w:val="20"/>
      <w:lang w:eastAsia="en-AU"/>
    </w:rPr>
  </w:style>
  <w:style w:type="character" w:customStyle="1" w:styleId="HeaderChar">
    <w:name w:val="Header Char"/>
    <w:basedOn w:val="DefaultParagraphFont"/>
    <w:link w:val="Header"/>
    <w:rsid w:val="00012321"/>
    <w:rPr>
      <w:rFonts w:eastAsia="Times New Roman"/>
    </w:rPr>
  </w:style>
  <w:style w:type="character" w:styleId="Hyperlink">
    <w:name w:val="Hyperlink"/>
    <w:rsid w:val="00A614DB"/>
    <w:rPr>
      <w:color w:val="0000FF"/>
      <w:u w:val="single"/>
    </w:rPr>
  </w:style>
  <w:style w:type="paragraph" w:customStyle="1" w:styleId="Default">
    <w:name w:val="Default"/>
    <w:rsid w:val="004621C2"/>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11"/>
    <w:pPr>
      <w:spacing w:after="200" w:line="276" w:lineRule="auto"/>
    </w:pPr>
    <w:rPr>
      <w:rFonts w:eastAsia="MS Mincho"/>
      <w:szCs w:val="24"/>
      <w:lang w:eastAsia="en-US"/>
    </w:rPr>
  </w:style>
  <w:style w:type="paragraph" w:styleId="Heading1">
    <w:name w:val="heading 1"/>
    <w:next w:val="Normal"/>
    <w:link w:val="Heading1Char"/>
    <w:qFormat/>
    <w:rsid w:val="0018041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180411"/>
    <w:pPr>
      <w:spacing w:before="320" w:after="200" w:line="276" w:lineRule="auto"/>
      <w:outlineLvl w:val="1"/>
    </w:pPr>
    <w:rPr>
      <w:rFonts w:ascii="Arial Bold" w:eastAsia="MS Gothic" w:hAnsi="Arial Bold"/>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11"/>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180411"/>
    <w:rPr>
      <w:rFonts w:ascii="Arial Bold" w:eastAsia="MS Gothic" w:hAnsi="Arial Bold"/>
      <w:bCs/>
      <w:sz w:val="24"/>
      <w:szCs w:val="26"/>
      <w:lang w:val="en-US" w:eastAsia="en-US"/>
    </w:rPr>
  </w:style>
  <w:style w:type="paragraph" w:customStyle="1" w:styleId="Bold">
    <w:name w:val="Bold"/>
    <w:basedOn w:val="Normal"/>
    <w:next w:val="Normal"/>
    <w:link w:val="BoldChar"/>
    <w:qFormat/>
    <w:rsid w:val="00180411"/>
    <w:rPr>
      <w:b/>
    </w:rPr>
  </w:style>
  <w:style w:type="character" w:customStyle="1" w:styleId="BoldChar">
    <w:name w:val="Bold Char"/>
    <w:link w:val="Bold"/>
    <w:rsid w:val="00180411"/>
    <w:rPr>
      <w:rFonts w:eastAsia="MS Mincho"/>
      <w:b/>
      <w:szCs w:val="24"/>
      <w:lang w:eastAsia="en-US"/>
    </w:rPr>
  </w:style>
  <w:style w:type="paragraph" w:styleId="ListParagraph">
    <w:name w:val="List Paragraph"/>
    <w:basedOn w:val="Normal"/>
    <w:uiPriority w:val="34"/>
    <w:qFormat/>
    <w:rsid w:val="00180411"/>
    <w:pPr>
      <w:ind w:left="720"/>
      <w:contextualSpacing/>
    </w:pPr>
  </w:style>
  <w:style w:type="paragraph" w:styleId="BalloonText">
    <w:name w:val="Balloon Text"/>
    <w:basedOn w:val="Normal"/>
    <w:link w:val="BalloonTextChar"/>
    <w:uiPriority w:val="99"/>
    <w:semiHidden/>
    <w:unhideWhenUsed/>
    <w:rsid w:val="00F3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7"/>
    <w:rPr>
      <w:rFonts w:ascii="Tahoma" w:eastAsia="MS Mincho" w:hAnsi="Tahoma" w:cs="Tahoma"/>
      <w:sz w:val="16"/>
      <w:szCs w:val="16"/>
      <w:lang w:eastAsia="en-US"/>
    </w:rPr>
  </w:style>
  <w:style w:type="paragraph" w:styleId="EndnoteText">
    <w:name w:val="endnote text"/>
    <w:basedOn w:val="Normal"/>
    <w:link w:val="EndnoteTextChar"/>
    <w:unhideWhenUsed/>
    <w:rsid w:val="00FF58A4"/>
    <w:pPr>
      <w:spacing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rsid w:val="00FF58A4"/>
    <w:rPr>
      <w:rFonts w:ascii="Times New Roman" w:eastAsia="Times New Roman" w:hAnsi="Times New Roman"/>
      <w:lang w:eastAsia="en-US"/>
    </w:rPr>
  </w:style>
  <w:style w:type="paragraph" w:styleId="Header">
    <w:name w:val="header"/>
    <w:basedOn w:val="Normal"/>
    <w:link w:val="HeaderChar"/>
    <w:rsid w:val="00012321"/>
    <w:pPr>
      <w:tabs>
        <w:tab w:val="left" w:pos="1134"/>
        <w:tab w:val="center" w:pos="4153"/>
        <w:tab w:val="right" w:pos="8306"/>
      </w:tabs>
      <w:spacing w:after="0" w:line="240" w:lineRule="auto"/>
      <w:ind w:right="2409"/>
    </w:pPr>
    <w:rPr>
      <w:rFonts w:eastAsia="Times New Roman"/>
      <w:szCs w:val="20"/>
      <w:lang w:eastAsia="en-AU"/>
    </w:rPr>
  </w:style>
  <w:style w:type="character" w:customStyle="1" w:styleId="HeaderChar">
    <w:name w:val="Header Char"/>
    <w:basedOn w:val="DefaultParagraphFont"/>
    <w:link w:val="Header"/>
    <w:rsid w:val="00012321"/>
    <w:rPr>
      <w:rFonts w:eastAsia="Times New Roman"/>
    </w:rPr>
  </w:style>
  <w:style w:type="character" w:styleId="Hyperlink">
    <w:name w:val="Hyperlink"/>
    <w:rsid w:val="00A614DB"/>
    <w:rPr>
      <w:color w:val="0000FF"/>
      <w:u w:val="single"/>
    </w:rPr>
  </w:style>
  <w:style w:type="paragraph" w:customStyle="1" w:styleId="Default">
    <w:name w:val="Default"/>
    <w:rsid w:val="004621C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EACC9-6C8C-46AA-BAA4-5BC09AED7AFE}"/>
</file>

<file path=customXml/itemProps2.xml><?xml version="1.0" encoding="utf-8"?>
<ds:datastoreItem xmlns:ds="http://schemas.openxmlformats.org/officeDocument/2006/customXml" ds:itemID="{B2EBE754-2683-4307-B059-B81F24C19F2B}"/>
</file>

<file path=customXml/itemProps3.xml><?xml version="1.0" encoding="utf-8"?>
<ds:datastoreItem xmlns:ds="http://schemas.openxmlformats.org/officeDocument/2006/customXml" ds:itemID="{695A8EE4-5B23-4513-B647-64D1E53D2351}"/>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Hannah Eisen</cp:lastModifiedBy>
  <cp:revision>2</cp:revision>
  <cp:lastPrinted>2016-03-31T05:15:00Z</cp:lastPrinted>
  <dcterms:created xsi:type="dcterms:W3CDTF">2016-06-07T23:21:00Z</dcterms:created>
  <dcterms:modified xsi:type="dcterms:W3CDTF">2016-06-07T23:21:00Z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