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672AA" w:rsidP="00020B35">
      <w:pPr>
        <w:pStyle w:val="DocumentTitle"/>
        <w:spacing w:before="3360"/>
      </w:pPr>
      <w:bookmarkStart w:id="0" w:name="_GoBack"/>
      <w:r w:rsidRPr="002672AA">
        <w:t>GreenPower Program Review 2022</w:t>
      </w:r>
    </w:p>
    <w:bookmarkEnd w:id="0"/>
    <w:p w:rsidR="000F3535" w:rsidRDefault="002672AA" w:rsidP="001B51BF">
      <w:pPr>
        <w:pStyle w:val="Subtitle"/>
      </w:pPr>
      <w:r w:rsidRPr="002672AA">
        <w:t xml:space="preserve">City of Melbourne Submission to the </w:t>
      </w:r>
      <w:proofErr w:type="spellStart"/>
      <w:r w:rsidRPr="002672AA">
        <w:t>GreenPower</w:t>
      </w:r>
      <w:proofErr w:type="spellEnd"/>
      <w:r w:rsidRPr="002672AA">
        <w:t xml:space="preserve"> Program Review Consultation</w:t>
      </w:r>
    </w:p>
    <w:p w:rsidR="00020B35" w:rsidRDefault="002672AA" w:rsidP="002672AA">
      <w:pPr>
        <w:pStyle w:val="Subtitle2"/>
      </w:pPr>
      <w:r w:rsidRPr="002672AA">
        <w:t>August 2022</w:t>
      </w:r>
    </w:p>
    <w:p w:rsidR="00061CBB" w:rsidRDefault="00020B35" w:rsidP="00061CBB">
      <w:pPr>
        <w:pStyle w:val="TOCHeading"/>
        <w:rPr>
          <w:rFonts w:hint="eastAsia"/>
        </w:rPr>
      </w:pPr>
      <w:r>
        <w:br w:type="page"/>
      </w:r>
      <w:bookmarkStart w:id="1" w:name="_Toc403992345"/>
      <w:bookmarkStart w:id="2" w:name="_Toc403992580"/>
    </w:p>
    <w:p w:rsidR="00061CBB" w:rsidRDefault="00061CBB" w:rsidP="00061CBB">
      <w:pPr>
        <w:pStyle w:val="Nospace"/>
      </w:pPr>
      <w:bookmarkStart w:id="3" w:name="_Toc419982219"/>
      <w:bookmarkStart w:id="4" w:name="_Toc419982304"/>
      <w:bookmarkStart w:id="5" w:name="_Toc419982305"/>
      <w:r>
        <w:lastRenderedPageBreak/>
        <w:t>National GreenPower Accredita</w:t>
      </w:r>
      <w:r w:rsidR="00C74F09">
        <w:t>tion Program</w:t>
      </w:r>
    </w:p>
    <w:p w:rsidR="00061CBB" w:rsidRDefault="00061CBB" w:rsidP="00061CBB">
      <w:pPr>
        <w:pStyle w:val="Nospace"/>
      </w:pPr>
      <w:r>
        <w:t>NSW Offi</w:t>
      </w:r>
      <w:r w:rsidR="00C74F09">
        <w:t>ce of Energy and Climate Change</w:t>
      </w:r>
    </w:p>
    <w:p w:rsidR="00061CBB" w:rsidRDefault="00C74F09" w:rsidP="00061CBB">
      <w:pPr>
        <w:pStyle w:val="Nospace"/>
      </w:pPr>
      <w:r>
        <w:t>Locked Bag 5022</w:t>
      </w:r>
    </w:p>
    <w:p w:rsidR="00061CBB" w:rsidRDefault="00C74F09" w:rsidP="00061CBB">
      <w:pPr>
        <w:pStyle w:val="Nospace"/>
      </w:pPr>
      <w:r>
        <w:t>Parramatta, NSW 2124</w:t>
      </w:r>
    </w:p>
    <w:p w:rsidR="00061CBB" w:rsidRDefault="005D1E04" w:rsidP="00061CBB">
      <w:pPr>
        <w:pStyle w:val="Nospace"/>
        <w:spacing w:after="600"/>
      </w:pPr>
      <w:hyperlink r:id="rId9" w:history="1">
        <w:r w:rsidR="00061CBB" w:rsidRPr="001E2AB1">
          <w:rPr>
            <w:rStyle w:val="Hyperlink"/>
          </w:rPr>
          <w:t>greenpower.admin@planning.nsw.gov.au</w:t>
        </w:r>
      </w:hyperlink>
    </w:p>
    <w:p w:rsidR="00061CBB" w:rsidRPr="00061CBB" w:rsidRDefault="00061CBB" w:rsidP="00061CBB">
      <w:pPr>
        <w:spacing w:after="360"/>
        <w:rPr>
          <w:b/>
        </w:rPr>
      </w:pPr>
      <w:r w:rsidRPr="00061CBB">
        <w:rPr>
          <w:b/>
        </w:rPr>
        <w:t xml:space="preserve">RE: </w:t>
      </w:r>
      <w:proofErr w:type="spellStart"/>
      <w:r w:rsidRPr="00061CBB">
        <w:rPr>
          <w:b/>
        </w:rPr>
        <w:t>GreenPower</w:t>
      </w:r>
      <w:proofErr w:type="spellEnd"/>
      <w:r w:rsidRPr="00061CBB">
        <w:rPr>
          <w:b/>
        </w:rPr>
        <w:t xml:space="preserve"> Program Review 2022</w:t>
      </w:r>
    </w:p>
    <w:p w:rsidR="00061CBB" w:rsidRDefault="00061CBB" w:rsidP="00061CBB">
      <w:r>
        <w:t xml:space="preserve">The City of Melbourne welcomes the opportunity to provide feedback on the </w:t>
      </w:r>
      <w:proofErr w:type="spellStart"/>
      <w:r>
        <w:t>GreenPower</w:t>
      </w:r>
      <w:proofErr w:type="spellEnd"/>
      <w:r>
        <w:t xml:space="preserve"> Program Review 2022. This submission </w:t>
      </w:r>
      <w:proofErr w:type="gramStart"/>
      <w:r>
        <w:t>is provided</w:t>
      </w:r>
      <w:proofErr w:type="gramEnd"/>
      <w:r>
        <w:t xml:space="preserve"> on behalf of the management of the City of Melbourne and is based on endorsed Council policy.</w:t>
      </w:r>
    </w:p>
    <w:p w:rsidR="00061CBB" w:rsidRDefault="00061CBB" w:rsidP="00061CBB">
      <w:r>
        <w:t xml:space="preserve">The City of Melbourne’s </w:t>
      </w:r>
      <w:hyperlink r:id="rId10" w:history="1">
        <w:r w:rsidRPr="006F0323">
          <w:rPr>
            <w:rStyle w:val="Hyperlink"/>
          </w:rPr>
          <w:t>Climate Change Mitigation Strategy</w:t>
        </w:r>
      </w:hyperlink>
      <w:r w:rsidR="006F0323">
        <w:rPr>
          <w:rStyle w:val="FootnoteReference"/>
        </w:rPr>
        <w:footnoteReference w:id="1"/>
      </w:r>
      <w:r>
        <w:t xml:space="preserve"> and </w:t>
      </w:r>
      <w:hyperlink r:id="rId11" w:history="1">
        <w:r w:rsidRPr="006F0323">
          <w:rPr>
            <w:rStyle w:val="Hyperlink"/>
          </w:rPr>
          <w:t>Response to the Climate and Biodiversity Emergency 2020</w:t>
        </w:r>
      </w:hyperlink>
      <w:r w:rsidR="006F0323">
        <w:rPr>
          <w:rStyle w:val="FootnoteReference"/>
        </w:rPr>
        <w:footnoteReference w:id="2"/>
      </w:r>
      <w:r>
        <w:t xml:space="preserve"> outline the Council’s commitment to becoming a city powered by 100 per cent renewable energy by 2030 and for net zero emissions across the local area by 2040.</w:t>
      </w:r>
    </w:p>
    <w:p w:rsidR="00061CBB" w:rsidRDefault="00061CBB" w:rsidP="00061CBB">
      <w:r>
        <w:t xml:space="preserve">Affordable renewable energy options </w:t>
      </w:r>
      <w:proofErr w:type="gramStart"/>
      <w:r>
        <w:t>are needed</w:t>
      </w:r>
      <w:proofErr w:type="gramEnd"/>
      <w:r>
        <w:t xml:space="preserve"> for all residents and businesses in our city if we are to achieve these targets.</w:t>
      </w:r>
    </w:p>
    <w:p w:rsidR="00061CBB" w:rsidRDefault="00061CBB" w:rsidP="00061CBB">
      <w:r>
        <w:t xml:space="preserve">More than 83 per cent of households in our municipality live in apartment buildings and 66 per cent of these are renters. Many of these residents, as well as small businesses, have limited opportunities for onsite renewable energy due to structural and systemic barriers. As a result, </w:t>
      </w:r>
      <w:proofErr w:type="spellStart"/>
      <w:r>
        <w:t>GreenPower</w:t>
      </w:r>
      <w:proofErr w:type="spellEnd"/>
      <w:r>
        <w:t xml:space="preserve"> remains the only viable way for many in our community to access renewable energy.</w:t>
      </w:r>
    </w:p>
    <w:p w:rsidR="00061CBB" w:rsidRDefault="00061CBB" w:rsidP="00061CBB">
      <w:r>
        <w:t xml:space="preserve">City of Melbourne supports the review of the </w:t>
      </w:r>
      <w:proofErr w:type="spellStart"/>
      <w:r>
        <w:t>GreenPower</w:t>
      </w:r>
      <w:proofErr w:type="spellEnd"/>
      <w:r>
        <w:t xml:space="preserve"> program and recognises that changes </w:t>
      </w:r>
      <w:proofErr w:type="gramStart"/>
      <w:r>
        <w:t>are needed</w:t>
      </w:r>
      <w:proofErr w:type="gramEnd"/>
      <w:r>
        <w:t xml:space="preserve"> for the Program to remain fit-for-purpose within a dynamic and changing energy landscape.</w:t>
      </w:r>
    </w:p>
    <w:p w:rsidR="00061CBB" w:rsidRDefault="00061CBB" w:rsidP="00061CBB">
      <w:r>
        <w:t xml:space="preserve">City of Melbourne strongly believes the </w:t>
      </w:r>
      <w:proofErr w:type="spellStart"/>
      <w:r>
        <w:t>GreenPower</w:t>
      </w:r>
      <w:proofErr w:type="spellEnd"/>
      <w:r>
        <w:t xml:space="preserve"> program has a valuable role to play in decarbonising the electricity sector and providing pathways for communities to support the energy transition. As such, the City of Melbourne is highly invested in the success of the </w:t>
      </w:r>
      <w:proofErr w:type="spellStart"/>
      <w:r>
        <w:t>GreenPower</w:t>
      </w:r>
      <w:proofErr w:type="spellEnd"/>
      <w:r>
        <w:t xml:space="preserve"> program and in seeing </w:t>
      </w:r>
      <w:proofErr w:type="spellStart"/>
      <w:r>
        <w:t>GreenPower</w:t>
      </w:r>
      <w:proofErr w:type="spellEnd"/>
      <w:r>
        <w:t xml:space="preserve"> purchasing widely adopted.</w:t>
      </w:r>
    </w:p>
    <w:p w:rsidR="00061CBB" w:rsidRDefault="00061CBB" w:rsidP="00061CBB">
      <w:r>
        <w:t xml:space="preserve">This submission highlights several key </w:t>
      </w:r>
      <w:proofErr w:type="gramStart"/>
      <w:r>
        <w:t>issues which</w:t>
      </w:r>
      <w:proofErr w:type="gramEnd"/>
      <w:r>
        <w:t xml:space="preserve"> City of Melbourne suggests should be a focus for reform and responds to a limited number of specific consultation questions in appendix 1.</w:t>
      </w:r>
    </w:p>
    <w:p w:rsidR="00061CBB" w:rsidRDefault="00061CBB" w:rsidP="00061CBB">
      <w:r>
        <w:t>We make the following recommendations:</w:t>
      </w:r>
    </w:p>
    <w:p w:rsidR="00061CBB" w:rsidRPr="00061CBB" w:rsidRDefault="00061CBB" w:rsidP="00061CBB">
      <w:pPr>
        <w:pStyle w:val="ListNumber"/>
        <w:rPr>
          <w:b/>
        </w:rPr>
      </w:pPr>
      <w:r w:rsidRPr="00061CBB">
        <w:rPr>
          <w:b/>
        </w:rPr>
        <w:t>Focus the program on improving affordability and certify</w:t>
      </w:r>
      <w:r w:rsidR="00C74F09">
        <w:rPr>
          <w:b/>
        </w:rPr>
        <w:t>ing zero emissions electricity</w:t>
      </w:r>
    </w:p>
    <w:p w:rsidR="00061CBB" w:rsidRDefault="00061CBB" w:rsidP="00061CBB">
      <w:pPr>
        <w:ind w:left="357"/>
      </w:pPr>
      <w:r>
        <w:t xml:space="preserve">City of Melbourne understands that the </w:t>
      </w:r>
      <w:proofErr w:type="spellStart"/>
      <w:r>
        <w:t>GreenPower</w:t>
      </w:r>
      <w:proofErr w:type="spellEnd"/>
      <w:r>
        <w:t xml:space="preserve"> program </w:t>
      </w:r>
      <w:proofErr w:type="gramStart"/>
      <w:r>
        <w:t>was conceived</w:t>
      </w:r>
      <w:proofErr w:type="gramEnd"/>
      <w:r>
        <w:t xml:space="preserve"> to drive investment in new renewable generation and to enable consumers to support emissions reduction by purchasing a renewable electricity product.</w:t>
      </w:r>
    </w:p>
    <w:p w:rsidR="00061CBB" w:rsidRDefault="00061CBB" w:rsidP="00061CBB">
      <w:pPr>
        <w:ind w:left="357"/>
      </w:pPr>
      <w:r>
        <w:t xml:space="preserve">While this mission was entirely appropriate for much of </w:t>
      </w:r>
      <w:proofErr w:type="spellStart"/>
      <w:r>
        <w:t>GreenPower’s</w:t>
      </w:r>
      <w:proofErr w:type="spellEnd"/>
      <w:r>
        <w:t xml:space="preserve"> existence, the City of Melbourne considers the focus on additionally of renewable energy to be less relevant today, and increasingly so into the future, given that as the Australian Energy Market Operator (AEMO) </w:t>
      </w:r>
      <w:hyperlink r:id="rId12" w:history="1">
        <w:r w:rsidRPr="006F0323">
          <w:rPr>
            <w:rStyle w:val="Hyperlink"/>
          </w:rPr>
          <w:t>2022 Integrated System Plan</w:t>
        </w:r>
      </w:hyperlink>
      <w:r w:rsidR="006F0323">
        <w:rPr>
          <w:rStyle w:val="FootnoteReference"/>
        </w:rPr>
        <w:footnoteReference w:id="3"/>
      </w:r>
      <w:r>
        <w:t xml:space="preserve"> forecasts, the grid will reach 83 per cent renewable penetration by 2030.</w:t>
      </w:r>
    </w:p>
    <w:p w:rsidR="00061CBB" w:rsidRDefault="00061CBB" w:rsidP="00061CBB">
      <w:pPr>
        <w:ind w:left="357"/>
      </w:pPr>
      <w:r>
        <w:t xml:space="preserve">In this context, City of Melbourne is of the view that maintaining the program’s focus on </w:t>
      </w:r>
      <w:proofErr w:type="spellStart"/>
      <w:r>
        <w:t>additionality</w:t>
      </w:r>
      <w:proofErr w:type="spellEnd"/>
      <w:r>
        <w:t xml:space="preserve"> of renewables would likely to drive up costs for consumers and </w:t>
      </w:r>
      <w:proofErr w:type="spellStart"/>
      <w:r>
        <w:t>disincentivise</w:t>
      </w:r>
      <w:proofErr w:type="spellEnd"/>
      <w:r>
        <w:t xml:space="preserve"> uptake of </w:t>
      </w:r>
      <w:proofErr w:type="spellStart"/>
      <w:r>
        <w:t>GreenPower</w:t>
      </w:r>
      <w:proofErr w:type="spellEnd"/>
      <w:r>
        <w:t xml:space="preserve"> electricity products.</w:t>
      </w:r>
    </w:p>
    <w:p w:rsidR="00061CBB" w:rsidRPr="00061CBB" w:rsidRDefault="00061CBB" w:rsidP="00C74F09">
      <w:pPr>
        <w:pStyle w:val="Heading1"/>
        <w:spacing w:before="240"/>
        <w:ind w:left="720"/>
        <w:rPr>
          <w:rFonts w:hint="eastAsia"/>
          <w:i/>
          <w:sz w:val="22"/>
        </w:rPr>
      </w:pPr>
      <w:r w:rsidRPr="00061CBB">
        <w:rPr>
          <w:i/>
          <w:sz w:val="22"/>
        </w:rPr>
        <w:t xml:space="preserve">A continued focus on </w:t>
      </w:r>
      <w:proofErr w:type="spellStart"/>
      <w:r w:rsidRPr="00061CBB">
        <w:rPr>
          <w:i/>
          <w:sz w:val="22"/>
        </w:rPr>
        <w:t>additionality</w:t>
      </w:r>
      <w:proofErr w:type="spellEnd"/>
      <w:r w:rsidRPr="00061CBB">
        <w:rPr>
          <w:i/>
          <w:sz w:val="22"/>
        </w:rPr>
        <w:t xml:space="preserve"> of renewable energy risks increasing costs and reducin</w:t>
      </w:r>
      <w:r>
        <w:rPr>
          <w:i/>
          <w:sz w:val="22"/>
        </w:rPr>
        <w:t xml:space="preserve">g demand for </w:t>
      </w:r>
      <w:proofErr w:type="spellStart"/>
      <w:r>
        <w:rPr>
          <w:i/>
          <w:sz w:val="22"/>
        </w:rPr>
        <w:t>GreenPower</w:t>
      </w:r>
      <w:proofErr w:type="spellEnd"/>
    </w:p>
    <w:p w:rsidR="00061CBB" w:rsidRDefault="00061CBB" w:rsidP="00061CBB">
      <w:pPr>
        <w:ind w:left="357"/>
      </w:pPr>
      <w:r>
        <w:t xml:space="preserve">The City believes the actions proposed in the consultation paper focussed on driving </w:t>
      </w:r>
      <w:proofErr w:type="spellStart"/>
      <w:r>
        <w:t>additionality</w:t>
      </w:r>
      <w:proofErr w:type="spellEnd"/>
      <w:r>
        <w:t xml:space="preserve">, such as LGC vintage requirements and limiting eligible LGCs to those purchased from new, not-yet-built renewable generation projects, would have the effect of increasing the cost of </w:t>
      </w:r>
      <w:proofErr w:type="spellStart"/>
      <w:r>
        <w:t>GreenPower</w:t>
      </w:r>
      <w:proofErr w:type="spellEnd"/>
      <w:r>
        <w:t xml:space="preserve"> and suppressing consumer demand. It therefore would not have the desired effect of supporting investment in new generation.</w:t>
      </w:r>
    </w:p>
    <w:p w:rsidR="00061CBB" w:rsidRDefault="00061CBB" w:rsidP="00061CBB">
      <w:pPr>
        <w:ind w:left="357"/>
      </w:pPr>
      <w:r>
        <w:t xml:space="preserve">In today’s electricity system, where firmed renewables are the cheapest form of new generation, for new projects to reach financial close they require revenue certainty through long-term offtake agreements, more so than revenue from merchant LGCs. The City anticipates the level of consumer interest in voluntarily purchasing </w:t>
      </w:r>
      <w:proofErr w:type="spellStart"/>
      <w:r>
        <w:t>additionality</w:t>
      </w:r>
      <w:proofErr w:type="spellEnd"/>
      <w:r>
        <w:t xml:space="preserve">-linked certificates, as contemplated in the Consultation Paper, would be low due to high certificate costs that </w:t>
      </w:r>
      <w:proofErr w:type="gramStart"/>
      <w:r>
        <w:t>would likely be needed</w:t>
      </w:r>
      <w:proofErr w:type="gramEnd"/>
      <w:r>
        <w:t xml:space="preserve"> to support additional projects. In this scenario, the </w:t>
      </w:r>
      <w:proofErr w:type="spellStart"/>
      <w:r>
        <w:t>GreenPower</w:t>
      </w:r>
      <w:proofErr w:type="spellEnd"/>
      <w:r>
        <w:t xml:space="preserve"> program is unlikely to be able to guarantee sufficient volume and revenue certainty to catalyse investment. If the Program </w:t>
      </w:r>
      <w:proofErr w:type="gramStart"/>
      <w:r>
        <w:t>were designed</w:t>
      </w:r>
      <w:proofErr w:type="gramEnd"/>
      <w:r>
        <w:t xml:space="preserve"> in this way, the City believes the effectiveness, impact, and take-up of the </w:t>
      </w:r>
      <w:proofErr w:type="spellStart"/>
      <w:r>
        <w:t>GreenPower</w:t>
      </w:r>
      <w:proofErr w:type="spellEnd"/>
      <w:r>
        <w:t xml:space="preserve"> program would be severely reduced.</w:t>
      </w:r>
    </w:p>
    <w:p w:rsidR="00061CBB" w:rsidRPr="00C74F09" w:rsidRDefault="00061CBB" w:rsidP="00C74F09">
      <w:pPr>
        <w:pStyle w:val="Heading1"/>
        <w:spacing w:before="240"/>
        <w:ind w:left="720"/>
        <w:rPr>
          <w:rFonts w:hint="eastAsia"/>
          <w:i/>
          <w:sz w:val="22"/>
        </w:rPr>
      </w:pPr>
      <w:r w:rsidRPr="00061CBB">
        <w:rPr>
          <w:i/>
          <w:sz w:val="22"/>
        </w:rPr>
        <w:t>Place affordability at the core of program redesign</w:t>
      </w:r>
    </w:p>
    <w:p w:rsidR="00061CBB" w:rsidRDefault="00061CBB" w:rsidP="00061CBB">
      <w:pPr>
        <w:ind w:left="357"/>
      </w:pPr>
      <w:r>
        <w:t xml:space="preserve">Affordability is critical to ensure continued relevance of the program and enable widespread adoption of </w:t>
      </w:r>
      <w:proofErr w:type="spellStart"/>
      <w:r>
        <w:t>GreenPower</w:t>
      </w:r>
      <w:proofErr w:type="spellEnd"/>
      <w:r>
        <w:t xml:space="preserve">. There exists a significant tension between maximising additionally in new generation and increasing the costs of certified </w:t>
      </w:r>
      <w:proofErr w:type="spellStart"/>
      <w:r>
        <w:t>GreenPower</w:t>
      </w:r>
      <w:proofErr w:type="spellEnd"/>
      <w:r>
        <w:t xml:space="preserve">. Increased costs from a focus on </w:t>
      </w:r>
      <w:proofErr w:type="spellStart"/>
      <w:r>
        <w:t>additionality</w:t>
      </w:r>
      <w:proofErr w:type="spellEnd"/>
      <w:r>
        <w:t xml:space="preserve"> has the potential to depress the demand for </w:t>
      </w:r>
      <w:proofErr w:type="spellStart"/>
      <w:r>
        <w:t>GreenPower</w:t>
      </w:r>
      <w:proofErr w:type="spellEnd"/>
      <w:r>
        <w:t xml:space="preserve"> and risks retailers no longer offering the product.</w:t>
      </w:r>
    </w:p>
    <w:p w:rsidR="00061CBB" w:rsidRDefault="00061CBB" w:rsidP="00061CBB">
      <w:pPr>
        <w:ind w:left="357"/>
      </w:pPr>
      <w:r>
        <w:t xml:space="preserve">Market research undertaken by City of Melbourne affirms that the biggest barrier to consumer uptake of </w:t>
      </w:r>
      <w:proofErr w:type="spellStart"/>
      <w:r>
        <w:t>GreenPower</w:t>
      </w:r>
      <w:proofErr w:type="spellEnd"/>
      <w:r>
        <w:t xml:space="preserve"> is the additional cost, relative to other electricity products. Purchasers of </w:t>
      </w:r>
      <w:proofErr w:type="spellStart"/>
      <w:r>
        <w:t>GreenPower</w:t>
      </w:r>
      <w:proofErr w:type="spellEnd"/>
      <w:r>
        <w:t xml:space="preserve"> are primarily looking to make zero emissions claims and the clear value proposition of the program is that it allows for authentication of such claims.</w:t>
      </w:r>
    </w:p>
    <w:p w:rsidR="00061CBB" w:rsidRDefault="00061CBB" w:rsidP="00061CBB">
      <w:pPr>
        <w:ind w:left="357"/>
      </w:pPr>
      <w:r>
        <w:t xml:space="preserve">Improving affordability of </w:t>
      </w:r>
      <w:proofErr w:type="spellStart"/>
      <w:r>
        <w:t>GreenPower</w:t>
      </w:r>
      <w:proofErr w:type="spellEnd"/>
      <w:r>
        <w:t xml:space="preserve"> could be achieved by changing </w:t>
      </w:r>
      <w:proofErr w:type="spellStart"/>
      <w:r>
        <w:t>GreenPower’s</w:t>
      </w:r>
      <w:proofErr w:type="spellEnd"/>
      <w:r>
        <w:t xml:space="preserve"> mission away from a focus on </w:t>
      </w:r>
      <w:proofErr w:type="spellStart"/>
      <w:r>
        <w:t>additionality</w:t>
      </w:r>
      <w:proofErr w:type="spellEnd"/>
      <w:r>
        <w:t>, towards one of certifying zero emissions electricity claims, aligned to the GHG Protocol.</w:t>
      </w:r>
    </w:p>
    <w:p w:rsidR="00061CBB" w:rsidRPr="00061CBB" w:rsidRDefault="00061CBB" w:rsidP="00C74F09">
      <w:pPr>
        <w:pStyle w:val="Heading1"/>
        <w:spacing w:before="240"/>
        <w:ind w:left="720"/>
        <w:rPr>
          <w:rFonts w:hint="eastAsia"/>
          <w:i/>
          <w:sz w:val="22"/>
        </w:rPr>
      </w:pPr>
      <w:r w:rsidRPr="00061CBB">
        <w:rPr>
          <w:i/>
          <w:sz w:val="22"/>
        </w:rPr>
        <w:t>Refocus the Program on certification</w:t>
      </w:r>
      <w:r>
        <w:rPr>
          <w:i/>
          <w:sz w:val="22"/>
        </w:rPr>
        <w:t xml:space="preserve"> of zero emissions electricity</w:t>
      </w:r>
    </w:p>
    <w:p w:rsidR="00061CBB" w:rsidRDefault="00061CBB" w:rsidP="00061CBB">
      <w:pPr>
        <w:ind w:left="357"/>
      </w:pPr>
      <w:r>
        <w:t xml:space="preserve">As noted in the Program Review and Consultation Paper, the Australian Government’s Renewable Energy Target (RET) scheme </w:t>
      </w:r>
      <w:proofErr w:type="gramStart"/>
      <w:r>
        <w:t>has been met</w:t>
      </w:r>
      <w:proofErr w:type="gramEnd"/>
      <w:r>
        <w:t xml:space="preserve"> and there is an escalating over-supply of LGCs; creating a situation where the voluntary purchase of </w:t>
      </w:r>
      <w:proofErr w:type="spellStart"/>
      <w:r>
        <w:t>GreenPower</w:t>
      </w:r>
      <w:proofErr w:type="spellEnd"/>
      <w:r>
        <w:t xml:space="preserve"> no longer has the same impact of incentivising the construction of new, renewable generation capacity.</w:t>
      </w:r>
    </w:p>
    <w:p w:rsidR="00061CBB" w:rsidRDefault="00061CBB" w:rsidP="00061CBB">
      <w:pPr>
        <w:ind w:left="357"/>
      </w:pPr>
      <w:r>
        <w:t xml:space="preserve">City of Melbourne acknowledges this as a fundamental problem for the </w:t>
      </w:r>
      <w:proofErr w:type="spellStart"/>
      <w:r>
        <w:t>GreenPower</w:t>
      </w:r>
      <w:proofErr w:type="spellEnd"/>
      <w:r>
        <w:t xml:space="preserve"> program if its mission is to drive </w:t>
      </w:r>
      <w:proofErr w:type="spellStart"/>
      <w:r>
        <w:t>addionality</w:t>
      </w:r>
      <w:proofErr w:type="spellEnd"/>
      <w:r>
        <w:t xml:space="preserve"> of renewables. However, rather than trying to maintain this mission and risk higher costs for consumers and a less impactful program, City of Melbourne recommends that </w:t>
      </w:r>
      <w:proofErr w:type="spellStart"/>
      <w:r>
        <w:t>GreenPower</w:t>
      </w:r>
      <w:proofErr w:type="spellEnd"/>
      <w:r>
        <w:t xml:space="preserve"> reconsider its mission and purpose.</w:t>
      </w:r>
    </w:p>
    <w:p w:rsidR="00061CBB" w:rsidRDefault="00061CBB" w:rsidP="00061CBB">
      <w:pPr>
        <w:ind w:left="357"/>
      </w:pPr>
      <w:r>
        <w:t xml:space="preserve">The City of Melbourne believes that refocusing </w:t>
      </w:r>
      <w:proofErr w:type="spellStart"/>
      <w:r>
        <w:t>GreenPower’s</w:t>
      </w:r>
      <w:proofErr w:type="spellEnd"/>
      <w:r>
        <w:t xml:space="preserve"> objective on certification of zero emissions products, rather than </w:t>
      </w:r>
      <w:proofErr w:type="spellStart"/>
      <w:r>
        <w:t>additionality</w:t>
      </w:r>
      <w:proofErr w:type="spellEnd"/>
      <w:r>
        <w:t xml:space="preserve"> of renewables, would make the program more coherent, affordable, and attractive to consumers.</w:t>
      </w:r>
    </w:p>
    <w:p w:rsidR="00061CBB" w:rsidRDefault="00061CBB" w:rsidP="00413DFC">
      <w:pPr>
        <w:ind w:left="357"/>
      </w:pPr>
      <w:r>
        <w:t xml:space="preserve">Many businesses have made net zero commitments or are part of a supply chains aligning with their own major customer’s climate objectives. </w:t>
      </w:r>
      <w:proofErr w:type="spellStart"/>
      <w:r>
        <w:t>GreenPower</w:t>
      </w:r>
      <w:proofErr w:type="spellEnd"/>
      <w:r>
        <w:t xml:space="preserve"> is </w:t>
      </w:r>
      <w:proofErr w:type="gramStart"/>
      <w:r>
        <w:t>well-placed</w:t>
      </w:r>
      <w:proofErr w:type="gramEnd"/>
      <w:r>
        <w:t xml:space="preserve"> to provide these businesses with the ability to make a transparent and defensible zero emissions claims and meet the needs of residential customers wanting a zero </w:t>
      </w:r>
      <w:r w:rsidR="00413DFC">
        <w:t>emissions electricity product.</w:t>
      </w:r>
    </w:p>
    <w:p w:rsidR="00061CBB" w:rsidRDefault="00061CBB" w:rsidP="00061CBB">
      <w:pPr>
        <w:pStyle w:val="ListNumber"/>
        <w:rPr>
          <w:b/>
        </w:rPr>
      </w:pPr>
      <w:r w:rsidRPr="00061CBB">
        <w:rPr>
          <w:b/>
        </w:rPr>
        <w:t>Ensure a robust Program aligned to c</w:t>
      </w:r>
      <w:r w:rsidR="00C74F09">
        <w:rPr>
          <w:b/>
        </w:rPr>
        <w:t>arbon accounting best practice</w:t>
      </w:r>
    </w:p>
    <w:p w:rsidR="00061CBB" w:rsidRDefault="00061CBB" w:rsidP="00061CBB">
      <w:pPr>
        <w:ind w:left="357"/>
      </w:pPr>
      <w:r>
        <w:t xml:space="preserve">Consumer confidence in the </w:t>
      </w:r>
      <w:proofErr w:type="spellStart"/>
      <w:r>
        <w:t>GreenPower</w:t>
      </w:r>
      <w:proofErr w:type="spellEnd"/>
      <w:r>
        <w:t xml:space="preserve"> brand is vital to program’s long-term success. Claims to zero emissions electricity and emissions reduction are central to the value proposition of the product, and as </w:t>
      </w:r>
      <w:proofErr w:type="gramStart"/>
      <w:r>
        <w:t>such</w:t>
      </w:r>
      <w:proofErr w:type="gramEnd"/>
      <w:r>
        <w:t xml:space="preserve"> the </w:t>
      </w:r>
      <w:proofErr w:type="spellStart"/>
      <w:r>
        <w:t>GreenPower</w:t>
      </w:r>
      <w:proofErr w:type="spellEnd"/>
      <w:r>
        <w:t xml:space="preserve"> program must align with best practice carbon accounting standards.</w:t>
      </w:r>
    </w:p>
    <w:p w:rsidR="00061CBB" w:rsidRPr="00C0736D" w:rsidRDefault="00061CBB" w:rsidP="00C74F09">
      <w:pPr>
        <w:pStyle w:val="Heading1"/>
        <w:spacing w:before="240"/>
        <w:ind w:left="720"/>
        <w:rPr>
          <w:rFonts w:hint="eastAsia"/>
          <w:i/>
          <w:sz w:val="22"/>
        </w:rPr>
      </w:pPr>
      <w:r w:rsidRPr="00C0736D">
        <w:rPr>
          <w:i/>
          <w:sz w:val="22"/>
        </w:rPr>
        <w:t>Align with international accounting protocols and scope 2 accounting requirements to prevent double counting of emissions</w:t>
      </w:r>
    </w:p>
    <w:p w:rsidR="00061CBB" w:rsidRDefault="00061CBB" w:rsidP="00C0736D">
      <w:pPr>
        <w:ind w:left="357"/>
      </w:pPr>
      <w:r>
        <w:t xml:space="preserve">As identified in the Program Review report and Consultation Paper, </w:t>
      </w:r>
      <w:proofErr w:type="spellStart"/>
      <w:r>
        <w:t>GreenPower</w:t>
      </w:r>
      <w:proofErr w:type="spellEnd"/>
      <w:r>
        <w:t xml:space="preserve"> is currently misaligned with carbon accounting standards as set out in the </w:t>
      </w:r>
      <w:hyperlink r:id="rId13" w:history="1">
        <w:r w:rsidRPr="00413DFC">
          <w:rPr>
            <w:rStyle w:val="Hyperlink"/>
          </w:rPr>
          <w:t>Greenhouse Gas Protocol: Scope 2 Guidance</w:t>
        </w:r>
      </w:hyperlink>
      <w:r w:rsidR="00413DFC">
        <w:rPr>
          <w:rStyle w:val="FootnoteReference"/>
        </w:rPr>
        <w:footnoteReference w:id="4"/>
      </w:r>
      <w:r>
        <w:t xml:space="preserve">, and specifically, market-based accounting methodology. This misalignment has resulted in a </w:t>
      </w:r>
      <w:proofErr w:type="gramStart"/>
      <w:r>
        <w:t>program which</w:t>
      </w:r>
      <w:proofErr w:type="gramEnd"/>
      <w:r>
        <w:t xml:space="preserve"> does not recognise the Renewable Power</w:t>
      </w:r>
      <w:r w:rsidR="00C0736D">
        <w:t xml:space="preserve"> Percentage (RPP) in the grid.</w:t>
      </w:r>
    </w:p>
    <w:p w:rsidR="00C0736D" w:rsidRDefault="00061CBB" w:rsidP="00C0736D">
      <w:pPr>
        <w:ind w:left="357"/>
      </w:pPr>
      <w:r>
        <w:t xml:space="preserve">The consequence of this misalignment is that the program has required consumers to purchase LGCs for 100 per cent of their annual electricity consumption, regardless of the RPP, thereby adding an unnecessary premium on the cost of </w:t>
      </w:r>
      <w:proofErr w:type="spellStart"/>
      <w:r>
        <w:t>GreenPower</w:t>
      </w:r>
      <w:proofErr w:type="spellEnd"/>
      <w:r>
        <w:t>, while also producing a</w:t>
      </w:r>
      <w:r w:rsidR="00C0736D">
        <w:t xml:space="preserve"> </w:t>
      </w:r>
      <w:proofErr w:type="gramStart"/>
      <w:r w:rsidR="00C0736D">
        <w:t>double-counting</w:t>
      </w:r>
      <w:proofErr w:type="gramEnd"/>
      <w:r w:rsidR="00C0736D">
        <w:t xml:space="preserve"> of emissions.</w:t>
      </w:r>
    </w:p>
    <w:p w:rsidR="00061CBB" w:rsidRDefault="00061CBB" w:rsidP="00C0736D">
      <w:pPr>
        <w:ind w:left="357"/>
      </w:pPr>
      <w:r>
        <w:t xml:space="preserve">The City of Melbourne commends </w:t>
      </w:r>
      <w:proofErr w:type="spellStart"/>
      <w:r>
        <w:t>GreenPower’s</w:t>
      </w:r>
      <w:proofErr w:type="spellEnd"/>
      <w:r>
        <w:t xml:space="preserve"> intention to address this double counting issue, however it does not support either Option A or Option B as contemplated in the Consultation Paper, as both approaches fall short of carbon accounting best practice. Option </w:t>
      </w:r>
      <w:proofErr w:type="gramStart"/>
      <w:r>
        <w:t>A</w:t>
      </w:r>
      <w:proofErr w:type="gramEnd"/>
      <w:r>
        <w:t xml:space="preserve"> only proposes to account for the RET for 100 per cent renewable products, while Option B proposes a fixed 15 per cent RPP which, while administratively simple</w:t>
      </w:r>
      <w:r w:rsidR="00C0736D">
        <w:t>r, is nonetheless inaccurate.</w:t>
      </w:r>
    </w:p>
    <w:p w:rsidR="00061CBB" w:rsidRPr="001F1BBE" w:rsidRDefault="00061CBB" w:rsidP="00C74F09">
      <w:pPr>
        <w:pStyle w:val="Heading1"/>
        <w:spacing w:before="240"/>
        <w:ind w:left="720"/>
        <w:rPr>
          <w:rFonts w:hint="eastAsia"/>
          <w:i/>
          <w:sz w:val="22"/>
        </w:rPr>
      </w:pPr>
      <w:proofErr w:type="spellStart"/>
      <w:r w:rsidRPr="001F1BBE">
        <w:rPr>
          <w:i/>
          <w:sz w:val="22"/>
        </w:rPr>
        <w:t>Recognise</w:t>
      </w:r>
      <w:proofErr w:type="spellEnd"/>
      <w:r w:rsidRPr="001F1BBE">
        <w:rPr>
          <w:i/>
          <w:sz w:val="22"/>
        </w:rPr>
        <w:t xml:space="preserve"> the Renewabl</w:t>
      </w:r>
      <w:r w:rsidR="001F1BBE">
        <w:rPr>
          <w:i/>
          <w:sz w:val="22"/>
        </w:rPr>
        <w:t>e Power Percentage in the gird</w:t>
      </w:r>
    </w:p>
    <w:p w:rsidR="00061CBB" w:rsidRDefault="00061CBB" w:rsidP="001F1BBE">
      <w:pPr>
        <w:ind w:left="357"/>
      </w:pPr>
      <w:r>
        <w:t xml:space="preserve">City of Melbourne recommends that the </w:t>
      </w:r>
      <w:proofErr w:type="spellStart"/>
      <w:r>
        <w:t>GreenPower</w:t>
      </w:r>
      <w:proofErr w:type="spellEnd"/>
      <w:r>
        <w:t xml:space="preserve"> Program recognise the full RPP to allow consumers to meet their zero emissions accreditation by subtracting the RPP f</w:t>
      </w:r>
      <w:r w:rsidR="001F1BBE">
        <w:t xml:space="preserve">rom their </w:t>
      </w:r>
      <w:proofErr w:type="spellStart"/>
      <w:r w:rsidR="001F1BBE">
        <w:t>GreenPower</w:t>
      </w:r>
      <w:proofErr w:type="spellEnd"/>
      <w:r w:rsidR="001F1BBE">
        <w:t xml:space="preserve"> purchase.</w:t>
      </w:r>
    </w:p>
    <w:p w:rsidR="00061CBB" w:rsidRDefault="00061CBB" w:rsidP="001F1BBE">
      <w:pPr>
        <w:ind w:left="357"/>
      </w:pPr>
      <w:r>
        <w:t xml:space="preserve">The advantages of this approach would be twofold. Firstly, it would be consistent with the Greenhouse Gas Protocol. Secondly, the cost of </w:t>
      </w:r>
      <w:proofErr w:type="spellStart"/>
      <w:r>
        <w:t>GreenPower</w:t>
      </w:r>
      <w:proofErr w:type="spellEnd"/>
      <w:r>
        <w:t xml:space="preserve"> would become cheaper, as consumers would only need to purchase LGC’s equivalent to their nominated </w:t>
      </w:r>
      <w:proofErr w:type="spellStart"/>
      <w:r>
        <w:t>GreenPower</w:t>
      </w:r>
      <w:proofErr w:type="spellEnd"/>
      <w:r>
        <w:t xml:space="preserve"> percentage minus the RPP. This would improve the affordability of </w:t>
      </w:r>
      <w:proofErr w:type="spellStart"/>
      <w:r>
        <w:t>GreenPower</w:t>
      </w:r>
      <w:proofErr w:type="spellEnd"/>
      <w:r>
        <w:t xml:space="preserve"> in the near term while also ensuring that </w:t>
      </w:r>
      <w:proofErr w:type="spellStart"/>
      <w:r>
        <w:t>GreenPower</w:t>
      </w:r>
      <w:proofErr w:type="spellEnd"/>
      <w:r>
        <w:t xml:space="preserve"> became progressively cheaper over time as the grid decarbonises (rather than progressively more expensive if the renewables </w:t>
      </w:r>
      <w:proofErr w:type="spellStart"/>
      <w:r>
        <w:t>additio</w:t>
      </w:r>
      <w:r w:rsidR="001F1BBE">
        <w:t>nality</w:t>
      </w:r>
      <w:proofErr w:type="spellEnd"/>
      <w:r w:rsidR="001F1BBE">
        <w:t xml:space="preserve"> objective </w:t>
      </w:r>
      <w:proofErr w:type="gramStart"/>
      <w:r w:rsidR="001F1BBE">
        <w:t>was pursued</w:t>
      </w:r>
      <w:proofErr w:type="gramEnd"/>
      <w:r w:rsidR="001F1BBE">
        <w:t>).</w:t>
      </w:r>
    </w:p>
    <w:p w:rsidR="00061CBB" w:rsidRPr="001F1BBE" w:rsidRDefault="00061CBB" w:rsidP="00C74F09">
      <w:pPr>
        <w:pStyle w:val="Heading1"/>
        <w:spacing w:before="240"/>
        <w:ind w:left="720"/>
        <w:rPr>
          <w:rFonts w:hint="eastAsia"/>
          <w:i/>
          <w:sz w:val="22"/>
        </w:rPr>
      </w:pPr>
      <w:r w:rsidRPr="001F1BBE">
        <w:rPr>
          <w:i/>
          <w:sz w:val="22"/>
        </w:rPr>
        <w:t>Introduce an environmental ra</w:t>
      </w:r>
      <w:r w:rsidR="001F1BBE">
        <w:rPr>
          <w:i/>
          <w:sz w:val="22"/>
        </w:rPr>
        <w:t>ting for electricity retailers</w:t>
      </w:r>
    </w:p>
    <w:p w:rsidR="001F1BBE" w:rsidRDefault="00061CBB" w:rsidP="001F1BBE">
      <w:pPr>
        <w:ind w:left="357"/>
      </w:pPr>
      <w:r>
        <w:t xml:space="preserve">City of Melbourne is supportive of the proposal for a star rating system and disclosure of the energy and emissions performance of retailers. Providing a star rating or similar would assist consumers in making informed decisions regarding their choice of energy supplier and enable quick and easy </w:t>
      </w:r>
      <w:proofErr w:type="gramStart"/>
      <w:r>
        <w:t>decision making</w:t>
      </w:r>
      <w:proofErr w:type="gramEnd"/>
      <w:r>
        <w:t xml:space="preserve">. Having the rating system administered through an independent government-backed program like </w:t>
      </w:r>
      <w:proofErr w:type="spellStart"/>
      <w:r>
        <w:t>GreenPower</w:t>
      </w:r>
      <w:proofErr w:type="spellEnd"/>
      <w:r>
        <w:t xml:space="preserve"> would enhance consumer confidence in the system, noting that any such scheme would need to </w:t>
      </w:r>
      <w:proofErr w:type="gramStart"/>
      <w:r>
        <w:t>be carefully crafted</w:t>
      </w:r>
      <w:proofErr w:type="gramEnd"/>
      <w:r>
        <w:t xml:space="preserve"> to ensure the methodology </w:t>
      </w:r>
      <w:r w:rsidR="001F1BBE">
        <w:t>was empirical and defensible.</w:t>
      </w:r>
    </w:p>
    <w:p w:rsidR="00061CBB" w:rsidRDefault="00061CBB" w:rsidP="001F1BBE">
      <w:pPr>
        <w:ind w:left="357"/>
      </w:pPr>
      <w:r>
        <w:t xml:space="preserve">The City acknowledges that there may be pushback from retailers concerned their rating looks poor, which might result in said retailer not offering </w:t>
      </w:r>
      <w:proofErr w:type="spellStart"/>
      <w:r>
        <w:t>GreenPower</w:t>
      </w:r>
      <w:proofErr w:type="spellEnd"/>
      <w:r>
        <w:t xml:space="preserve"> altogether. A potential solution could be to make </w:t>
      </w:r>
      <w:proofErr w:type="spellStart"/>
      <w:r>
        <w:t>GreenPower</w:t>
      </w:r>
      <w:proofErr w:type="spellEnd"/>
      <w:r>
        <w:t xml:space="preserve"> offerings a requirement under the Electricity Retail Code. The City of Melbourne is supportive of the </w:t>
      </w:r>
      <w:proofErr w:type="spellStart"/>
      <w:r>
        <w:t>GreenPower</w:t>
      </w:r>
      <w:proofErr w:type="spellEnd"/>
      <w:r>
        <w:t xml:space="preserve"> Program Manager advocating t</w:t>
      </w:r>
      <w:r w:rsidR="001F1BBE">
        <w:t>o the ACCC for such changes.</w:t>
      </w:r>
    </w:p>
    <w:p w:rsidR="00061CBB" w:rsidRPr="001F1BBE" w:rsidRDefault="00061CBB" w:rsidP="00061CBB">
      <w:pPr>
        <w:pStyle w:val="ListNumber"/>
        <w:rPr>
          <w:b/>
        </w:rPr>
      </w:pPr>
      <w:r w:rsidRPr="001F1BBE">
        <w:rPr>
          <w:b/>
        </w:rPr>
        <w:t>Support small ene</w:t>
      </w:r>
      <w:r w:rsidR="001F1BBE">
        <w:rPr>
          <w:b/>
        </w:rPr>
        <w:t xml:space="preserve">rgy users to access </w:t>
      </w:r>
      <w:proofErr w:type="spellStart"/>
      <w:r w:rsidR="001F1BBE">
        <w:rPr>
          <w:b/>
        </w:rPr>
        <w:t>GreenPower</w:t>
      </w:r>
      <w:proofErr w:type="spellEnd"/>
    </w:p>
    <w:p w:rsidR="001F1BBE" w:rsidRDefault="00061CBB" w:rsidP="001F1BBE">
      <w:pPr>
        <w:ind w:left="357"/>
      </w:pPr>
      <w:r>
        <w:t xml:space="preserve">Many small energy users in our city are locked out from on-site renewables because they live in apartments, are renting, lacking capital, or because the built form constrains their opportunity. Options for affordable renewable purchasing, such as Power Purchase Agreements (PPAs), are similarly unavailable to these uses as due to their small electricity loads and lack of </w:t>
      </w:r>
      <w:proofErr w:type="gramStart"/>
      <w:r>
        <w:t>bankability which</w:t>
      </w:r>
      <w:proofErr w:type="gramEnd"/>
      <w:r>
        <w:t xml:space="preserve"> makes them unviable prospects for long-term </w:t>
      </w:r>
      <w:r w:rsidR="001F1BBE">
        <w:t>renewable supply contracting.</w:t>
      </w:r>
    </w:p>
    <w:p w:rsidR="001F1BBE" w:rsidRDefault="00061CBB" w:rsidP="001F1BBE">
      <w:pPr>
        <w:ind w:left="357"/>
      </w:pPr>
      <w:r>
        <w:t xml:space="preserve">Purchasing certified </w:t>
      </w:r>
      <w:proofErr w:type="spellStart"/>
      <w:r>
        <w:t>GreenPower</w:t>
      </w:r>
      <w:proofErr w:type="spellEnd"/>
      <w:r>
        <w:t xml:space="preserve"> remains one of the only viable options for these consumer segments to access renewable </w:t>
      </w:r>
      <w:proofErr w:type="gramStart"/>
      <w:r>
        <w:t>energy,</w:t>
      </w:r>
      <w:proofErr w:type="gramEnd"/>
      <w:r>
        <w:t xml:space="preserve"> however the cost premium on </w:t>
      </w:r>
      <w:proofErr w:type="spellStart"/>
      <w:r>
        <w:t>GreenPower</w:t>
      </w:r>
      <w:proofErr w:type="spellEnd"/>
      <w:r>
        <w:t xml:space="preserve"> is a significant barrier to uptake. Improving affordability through the approaches outlined in recommendations 1 and 2 </w:t>
      </w:r>
      <w:proofErr w:type="gramStart"/>
      <w:r>
        <w:t>would be expected</w:t>
      </w:r>
      <w:proofErr w:type="gramEnd"/>
      <w:r>
        <w:t xml:space="preserve"> to increase demand for </w:t>
      </w:r>
      <w:proofErr w:type="spellStart"/>
      <w:r>
        <w:t>Gree</w:t>
      </w:r>
      <w:r w:rsidR="001F1BBE">
        <w:t>nPower</w:t>
      </w:r>
      <w:proofErr w:type="spellEnd"/>
      <w:r w:rsidR="001F1BBE">
        <w:t xml:space="preserve"> by residents and SMEs.</w:t>
      </w:r>
    </w:p>
    <w:p w:rsidR="00061CBB" w:rsidRDefault="00061CBB" w:rsidP="001F1BBE">
      <w:pPr>
        <w:ind w:left="357"/>
      </w:pPr>
      <w:r>
        <w:t xml:space="preserve">The City is aware that approximately 360,000 customers purchase </w:t>
      </w:r>
      <w:proofErr w:type="spellStart"/>
      <w:r>
        <w:t>GreenPower</w:t>
      </w:r>
      <w:proofErr w:type="spellEnd"/>
      <w:r>
        <w:t xml:space="preserve"> nationwide, with 30,000 of these being businesses. This represents only 2-3 per cent of total energy </w:t>
      </w:r>
      <w:proofErr w:type="gramStart"/>
      <w:r>
        <w:t>consumers,</w:t>
      </w:r>
      <w:proofErr w:type="gramEnd"/>
      <w:r>
        <w:t xml:space="preserve"> therefore there is huge potential to grow the program. The City of Melbourne recommends the </w:t>
      </w:r>
      <w:proofErr w:type="spellStart"/>
      <w:r>
        <w:t>GreenPower</w:t>
      </w:r>
      <w:proofErr w:type="spellEnd"/>
      <w:r>
        <w:t xml:space="preserve"> program focus its efforts on increasing demand for its product amongst small energy users, through increased promotion, partnerships, and by improving afford</w:t>
      </w:r>
      <w:r w:rsidR="001F1BBE">
        <w:t>ability.</w:t>
      </w:r>
    </w:p>
    <w:p w:rsidR="00061CBB" w:rsidRPr="001F1BBE" w:rsidRDefault="00061CBB" w:rsidP="00C74F09">
      <w:pPr>
        <w:pStyle w:val="Heading1"/>
        <w:spacing w:before="240"/>
        <w:ind w:left="720"/>
        <w:rPr>
          <w:rFonts w:hint="eastAsia"/>
          <w:i/>
          <w:sz w:val="22"/>
        </w:rPr>
      </w:pPr>
      <w:r w:rsidRPr="001F1BBE">
        <w:rPr>
          <w:i/>
          <w:sz w:val="22"/>
        </w:rPr>
        <w:t xml:space="preserve">Differentiate </w:t>
      </w:r>
      <w:proofErr w:type="spellStart"/>
      <w:r w:rsidRPr="001F1BBE">
        <w:rPr>
          <w:i/>
          <w:sz w:val="22"/>
        </w:rPr>
        <w:t>GreenPowe</w:t>
      </w:r>
      <w:r w:rsidR="001F1BBE">
        <w:rPr>
          <w:i/>
          <w:sz w:val="22"/>
        </w:rPr>
        <w:t>r</w:t>
      </w:r>
      <w:proofErr w:type="spellEnd"/>
      <w:r w:rsidR="001F1BBE">
        <w:rPr>
          <w:i/>
          <w:sz w:val="22"/>
        </w:rPr>
        <w:t xml:space="preserve"> from carbon neutral products</w:t>
      </w:r>
    </w:p>
    <w:p w:rsidR="00061CBB" w:rsidRDefault="00061CBB" w:rsidP="001F1BBE">
      <w:pPr>
        <w:ind w:left="357"/>
      </w:pPr>
      <w:r>
        <w:t xml:space="preserve">Consumers face significant confusion when distinguishing between </w:t>
      </w:r>
      <w:proofErr w:type="spellStart"/>
      <w:r>
        <w:t>GreenPower</w:t>
      </w:r>
      <w:proofErr w:type="spellEnd"/>
      <w:r>
        <w:t xml:space="preserve"> and ‘carbon neutral’ energy, with the distinction between these products not clearly understood. The </w:t>
      </w:r>
      <w:proofErr w:type="spellStart"/>
      <w:r>
        <w:t>GreenPower</w:t>
      </w:r>
      <w:proofErr w:type="spellEnd"/>
      <w:r>
        <w:t xml:space="preserve"> program should seek to ensure that the value of its product </w:t>
      </w:r>
      <w:proofErr w:type="gramStart"/>
      <w:r>
        <w:t>is clearly and simply communicated</w:t>
      </w:r>
      <w:proofErr w:type="gramEnd"/>
      <w:r>
        <w:t xml:space="preserve"> to consumers through enhanced promotional efforts</w:t>
      </w:r>
      <w:r w:rsidR="001F1BBE">
        <w:t xml:space="preserve"> and certification labelling.</w:t>
      </w:r>
    </w:p>
    <w:p w:rsidR="00061CBB" w:rsidRPr="001F1BBE" w:rsidRDefault="00061CBB" w:rsidP="001F1BBE">
      <w:pPr>
        <w:pStyle w:val="ListNumber"/>
        <w:rPr>
          <w:b/>
        </w:rPr>
      </w:pPr>
      <w:r w:rsidRPr="001F1BBE">
        <w:rPr>
          <w:b/>
        </w:rPr>
        <w:t>Drive demand thro</w:t>
      </w:r>
      <w:r w:rsidR="00C74F09">
        <w:rPr>
          <w:b/>
        </w:rPr>
        <w:t>ugh promotion and partnerships</w:t>
      </w:r>
    </w:p>
    <w:p w:rsidR="001F1BBE" w:rsidRDefault="00061CBB" w:rsidP="001F1BBE">
      <w:pPr>
        <w:ind w:left="357"/>
      </w:pPr>
      <w:r>
        <w:t xml:space="preserve">The City of Melbourne is supportive of </w:t>
      </w:r>
      <w:proofErr w:type="spellStart"/>
      <w:r>
        <w:t>GreenPower</w:t>
      </w:r>
      <w:proofErr w:type="spellEnd"/>
      <w:r>
        <w:t xml:space="preserve"> increasing its marketing budget to enhance information delivery to consumers and expand its promotional efforts; noting that this ought </w:t>
      </w:r>
      <w:proofErr w:type="gramStart"/>
      <w:r>
        <w:t>not</w:t>
      </w:r>
      <w:proofErr w:type="gramEnd"/>
      <w:r>
        <w:t xml:space="preserve"> be funded by incre</w:t>
      </w:r>
      <w:r w:rsidR="001F1BBE">
        <w:t xml:space="preserve">asing the cost of </w:t>
      </w:r>
      <w:proofErr w:type="spellStart"/>
      <w:r w:rsidR="001F1BBE">
        <w:t>GreenPower</w:t>
      </w:r>
      <w:proofErr w:type="spellEnd"/>
      <w:r w:rsidR="001F1BBE">
        <w:t>.</w:t>
      </w:r>
    </w:p>
    <w:p w:rsidR="001F1BBE" w:rsidRDefault="00061CBB" w:rsidP="001F1BBE">
      <w:pPr>
        <w:ind w:left="357"/>
      </w:pPr>
      <w:r>
        <w:t xml:space="preserve">A stronger focus on promotion of </w:t>
      </w:r>
      <w:proofErr w:type="spellStart"/>
      <w:r>
        <w:t>GreenPower</w:t>
      </w:r>
      <w:proofErr w:type="spellEnd"/>
      <w:r>
        <w:t xml:space="preserve"> has the potential to increase demand for LGCs and prevent erosion of certificate prices in an increasingly over-supplied marketplace. By so doing, renewable generators would benefit from an enhanced LGC revenue stream, better enabling portfolio developers to fund new generation projects (noting that as previously stated</w:t>
      </w:r>
      <w:proofErr w:type="gramStart"/>
      <w:r>
        <w:t>,</w:t>
      </w:r>
      <w:proofErr w:type="gramEnd"/>
      <w:r>
        <w:t xml:space="preserve"> LGCs are not the primary revenue stream for supporting investment). While less direct than imposing </w:t>
      </w:r>
      <w:proofErr w:type="spellStart"/>
      <w:r>
        <w:t>additionality</w:t>
      </w:r>
      <w:proofErr w:type="spellEnd"/>
      <w:r>
        <w:t xml:space="preserve"> requirements, driving demand for </w:t>
      </w:r>
      <w:proofErr w:type="spellStart"/>
      <w:r>
        <w:t>GreenPower</w:t>
      </w:r>
      <w:proofErr w:type="spellEnd"/>
      <w:r>
        <w:t xml:space="preserve"> through promotion would be coherent way for the program to support both affordability and grid</w:t>
      </w:r>
      <w:r w:rsidR="001F1BBE">
        <w:t xml:space="preserve"> decarbonisation objectives.</w:t>
      </w:r>
    </w:p>
    <w:p w:rsidR="001F1BBE" w:rsidRPr="00C74F09" w:rsidRDefault="00061CBB" w:rsidP="00C74F09">
      <w:pPr>
        <w:pStyle w:val="Heading1"/>
        <w:spacing w:before="240"/>
        <w:ind w:left="720"/>
        <w:rPr>
          <w:rFonts w:hint="eastAsia"/>
          <w:i/>
          <w:sz w:val="22"/>
        </w:rPr>
      </w:pPr>
      <w:r w:rsidRPr="00C74F09">
        <w:rPr>
          <w:i/>
          <w:sz w:val="22"/>
        </w:rPr>
        <w:t xml:space="preserve">Provide postcode level data on </w:t>
      </w:r>
      <w:proofErr w:type="spellStart"/>
      <w:r w:rsidRPr="00C74F09">
        <w:rPr>
          <w:i/>
          <w:sz w:val="22"/>
        </w:rPr>
        <w:t>GreenPower</w:t>
      </w:r>
      <w:proofErr w:type="spellEnd"/>
      <w:r w:rsidRPr="00C74F09">
        <w:rPr>
          <w:i/>
          <w:sz w:val="22"/>
        </w:rPr>
        <w:t xml:space="preserve"> purchases t</w:t>
      </w:r>
      <w:r w:rsidR="001F1BBE" w:rsidRPr="00C74F09">
        <w:rPr>
          <w:i/>
          <w:sz w:val="22"/>
        </w:rPr>
        <w:t>o enable council partnerships</w:t>
      </w:r>
    </w:p>
    <w:p w:rsidR="001F1BBE" w:rsidRDefault="00061CBB" w:rsidP="001F1BBE">
      <w:pPr>
        <w:ind w:left="357"/>
      </w:pPr>
      <w:r>
        <w:t xml:space="preserve">Councils already play a key role in promoting voluntary renewable energy uptake and are </w:t>
      </w:r>
      <w:proofErr w:type="gramStart"/>
      <w:r>
        <w:t>well-placed</w:t>
      </w:r>
      <w:proofErr w:type="gramEnd"/>
      <w:r>
        <w:t xml:space="preserve"> to partner with the </w:t>
      </w:r>
      <w:proofErr w:type="spellStart"/>
      <w:r>
        <w:t>GreenPower</w:t>
      </w:r>
      <w:proofErr w:type="spellEnd"/>
      <w:r>
        <w:t xml:space="preserve"> program to drive community awareness of accredited products. The City of Sydney’s </w:t>
      </w:r>
      <w:hyperlink r:id="rId14" w:history="1">
        <w:proofErr w:type="spellStart"/>
        <w:r w:rsidRPr="00C74F09">
          <w:rPr>
            <w:rStyle w:val="Hyperlink"/>
          </w:rPr>
          <w:t>GetGreen</w:t>
        </w:r>
        <w:proofErr w:type="spellEnd"/>
        <w:r w:rsidRPr="00C74F09">
          <w:rPr>
            <w:rStyle w:val="Hyperlink"/>
          </w:rPr>
          <w:t xml:space="preserve"> Power</w:t>
        </w:r>
      </w:hyperlink>
      <w:r w:rsidR="00C74F09">
        <w:rPr>
          <w:rStyle w:val="FootnoteReference"/>
        </w:rPr>
        <w:footnoteReference w:id="5"/>
      </w:r>
      <w:r>
        <w:t xml:space="preserve"> campaign exemplifies </w:t>
      </w:r>
      <w:r w:rsidR="001F1BBE">
        <w:t>these promotional activities.</w:t>
      </w:r>
    </w:p>
    <w:p w:rsidR="001F1BBE" w:rsidRDefault="00061CBB" w:rsidP="001F1BBE">
      <w:pPr>
        <w:ind w:left="357"/>
      </w:pPr>
      <w:r>
        <w:t xml:space="preserve">Other local governments, including the City of Melbourne, are contemplating similar campaigns and programs to increase uptake of </w:t>
      </w:r>
      <w:proofErr w:type="spellStart"/>
      <w:r>
        <w:t>GreenPower</w:t>
      </w:r>
      <w:proofErr w:type="spellEnd"/>
      <w:r>
        <w:t xml:space="preserve"> purchasing by the community. To justify council’s investment of effort, the program absolutely must make postcode level data on </w:t>
      </w:r>
      <w:proofErr w:type="spellStart"/>
      <w:r>
        <w:t>GreenPower</w:t>
      </w:r>
      <w:proofErr w:type="spellEnd"/>
      <w:r>
        <w:t xml:space="preserve"> uptake available. Such data would enable councils to better track their municipal emissions and the voluntary action of their communities and would be useful in tracking the momentum and effectiveness of local </w:t>
      </w:r>
      <w:proofErr w:type="spellStart"/>
      <w:r>
        <w:t>GreenPower</w:t>
      </w:r>
      <w:proofErr w:type="spellEnd"/>
      <w:r>
        <w:t xml:space="preserve"> marketing</w:t>
      </w:r>
      <w:r w:rsidR="001F1BBE">
        <w:t xml:space="preserve"> and uptake across communities.</w:t>
      </w:r>
    </w:p>
    <w:p w:rsidR="00061CBB" w:rsidRPr="001F1BBE" w:rsidRDefault="00061CBB" w:rsidP="00C74F09">
      <w:pPr>
        <w:pStyle w:val="Heading1"/>
        <w:spacing w:before="240"/>
        <w:ind w:left="720"/>
        <w:rPr>
          <w:rFonts w:hint="eastAsia"/>
          <w:i/>
          <w:sz w:val="22"/>
        </w:rPr>
      </w:pPr>
      <w:r w:rsidRPr="001F1BBE">
        <w:rPr>
          <w:i/>
          <w:sz w:val="22"/>
        </w:rPr>
        <w:t xml:space="preserve">Coordinate with energy compare websites </w:t>
      </w:r>
      <w:r w:rsidR="001F1BBE">
        <w:rPr>
          <w:i/>
          <w:sz w:val="22"/>
        </w:rPr>
        <w:t xml:space="preserve">to promote </w:t>
      </w:r>
      <w:proofErr w:type="spellStart"/>
      <w:r w:rsidR="001F1BBE">
        <w:rPr>
          <w:i/>
          <w:sz w:val="22"/>
        </w:rPr>
        <w:t>GreenPower</w:t>
      </w:r>
      <w:proofErr w:type="spellEnd"/>
      <w:r w:rsidR="001F1BBE">
        <w:rPr>
          <w:i/>
          <w:sz w:val="22"/>
        </w:rPr>
        <w:t xml:space="preserve"> products</w:t>
      </w:r>
    </w:p>
    <w:p w:rsidR="001F1BBE" w:rsidRDefault="00061CBB" w:rsidP="001F1BBE">
      <w:pPr>
        <w:ind w:left="357"/>
      </w:pPr>
      <w:r>
        <w:t xml:space="preserve">Recognising that consumers typically make their energy decisions at or near point of sale, energy compare websites are among the most likely channels for small energy consumers to select energy plans. There is a clear opportunity for further promotion of </w:t>
      </w:r>
      <w:proofErr w:type="spellStart"/>
      <w:r>
        <w:t>GreenPower</w:t>
      </w:r>
      <w:proofErr w:type="spellEnd"/>
      <w:r>
        <w:t xml:space="preserve"> on energy compare websites, some of which are government operated (e.</w:t>
      </w:r>
      <w:r w:rsidR="00C74F09">
        <w:t>g.</w:t>
      </w:r>
      <w:r w:rsidR="001F1BBE">
        <w:t xml:space="preserve"> </w:t>
      </w:r>
      <w:hyperlink r:id="rId15" w:history="1">
        <w:r w:rsidR="001F1BBE" w:rsidRPr="00C74F09">
          <w:rPr>
            <w:rStyle w:val="Hyperlink"/>
          </w:rPr>
          <w:t>Victorian Energy Compare</w:t>
        </w:r>
      </w:hyperlink>
      <w:r w:rsidR="00C74F09">
        <w:rPr>
          <w:rStyle w:val="FootnoteReference"/>
        </w:rPr>
        <w:footnoteReference w:id="6"/>
      </w:r>
      <w:r w:rsidR="001F1BBE">
        <w:t>).</w:t>
      </w:r>
    </w:p>
    <w:p w:rsidR="001F1BBE" w:rsidRDefault="00061CBB" w:rsidP="001F1BBE">
      <w:pPr>
        <w:ind w:left="357"/>
      </w:pPr>
      <w:r>
        <w:t xml:space="preserve">Efforts </w:t>
      </w:r>
      <w:proofErr w:type="gramStart"/>
      <w:r>
        <w:t>should be made</w:t>
      </w:r>
      <w:proofErr w:type="gramEnd"/>
      <w:r>
        <w:t xml:space="preserve"> by </w:t>
      </w:r>
      <w:proofErr w:type="spellStart"/>
      <w:r>
        <w:t>GreenPower</w:t>
      </w:r>
      <w:proofErr w:type="spellEnd"/>
      <w:r>
        <w:t xml:space="preserve"> administrators to ensure the information provided on energy compare websites is both useful and credible. By way of example, while Victorian Energy Compare does allow consumers to filter for green offers, it does little to explain this option and moreover it positions a 10 per cent </w:t>
      </w:r>
      <w:proofErr w:type="spellStart"/>
      <w:r>
        <w:t>GreenPower</w:t>
      </w:r>
      <w:proofErr w:type="spellEnd"/>
      <w:r>
        <w:t xml:space="preserve"> offer as equivalent to 100 per cent </w:t>
      </w:r>
      <w:proofErr w:type="spellStart"/>
      <w:r>
        <w:t>GreenPower</w:t>
      </w:r>
      <w:proofErr w:type="spellEnd"/>
      <w:r>
        <w:t xml:space="preserve"> offers, steering consumers towards the lower percentage opti</w:t>
      </w:r>
      <w:r w:rsidR="001F1BBE">
        <w:t>on as it is shown as cheaper.</w:t>
      </w:r>
    </w:p>
    <w:p w:rsidR="001F1BBE" w:rsidRDefault="00061CBB" w:rsidP="001F1BBE">
      <w:pPr>
        <w:ind w:left="357"/>
      </w:pPr>
      <w:proofErr w:type="gramStart"/>
      <w:r>
        <w:t>Partnering</w:t>
      </w:r>
      <w:proofErr w:type="gramEnd"/>
      <w:r>
        <w:t xml:space="preserve"> with energy compare websites would provide the opportunity to better explain and clarify the value proposition of </w:t>
      </w:r>
      <w:proofErr w:type="spellStart"/>
      <w:r>
        <w:t>GreenPower</w:t>
      </w:r>
      <w:proofErr w:type="spellEnd"/>
      <w:r>
        <w:t xml:space="preserve"> and</w:t>
      </w:r>
      <w:r w:rsidR="001F1BBE">
        <w:t xml:space="preserve"> build consumer understanding.</w:t>
      </w:r>
    </w:p>
    <w:p w:rsidR="0044448B" w:rsidRPr="0044448B" w:rsidRDefault="00061CBB" w:rsidP="00C74F09">
      <w:pPr>
        <w:pStyle w:val="Heading1"/>
        <w:spacing w:before="240"/>
        <w:ind w:left="720"/>
        <w:rPr>
          <w:rFonts w:hint="eastAsia"/>
          <w:i/>
          <w:sz w:val="22"/>
        </w:rPr>
      </w:pPr>
      <w:r w:rsidRPr="0044448B">
        <w:rPr>
          <w:i/>
          <w:sz w:val="22"/>
        </w:rPr>
        <w:t>Investigate ways for private electricit</w:t>
      </w:r>
      <w:r w:rsidR="0044448B">
        <w:rPr>
          <w:i/>
          <w:sz w:val="22"/>
        </w:rPr>
        <w:t xml:space="preserve">y networks to offer </w:t>
      </w:r>
      <w:proofErr w:type="spellStart"/>
      <w:r w:rsidR="0044448B">
        <w:rPr>
          <w:i/>
          <w:sz w:val="22"/>
        </w:rPr>
        <w:t>GreenPower</w:t>
      </w:r>
      <w:proofErr w:type="spellEnd"/>
    </w:p>
    <w:p w:rsidR="0044448B" w:rsidRDefault="00061CBB" w:rsidP="0044448B">
      <w:pPr>
        <w:ind w:left="357"/>
      </w:pPr>
      <w:r>
        <w:t xml:space="preserve">As noted in the Consultation Paper, </w:t>
      </w:r>
      <w:proofErr w:type="gramStart"/>
      <w:r>
        <w:t>there is a significant cohort of energy users situated within embedded networks who</w:t>
      </w:r>
      <w:proofErr w:type="gramEnd"/>
      <w:r>
        <w:t xml:space="preserve"> may not be able to purchase </w:t>
      </w:r>
      <w:proofErr w:type="spellStart"/>
      <w:r>
        <w:t>GreenPower</w:t>
      </w:r>
      <w:proofErr w:type="spellEnd"/>
      <w:r>
        <w:t xml:space="preserve">. Despite Power of Choice legislation, many embedded network customers lack the metering infrastructure </w:t>
      </w:r>
      <w:proofErr w:type="gramStart"/>
      <w:r>
        <w:t>to af</w:t>
      </w:r>
      <w:r w:rsidR="0044448B">
        <w:t>fordably switch</w:t>
      </w:r>
      <w:proofErr w:type="gramEnd"/>
      <w:r w:rsidR="0044448B">
        <w:t xml:space="preserve"> retailers.</w:t>
      </w:r>
    </w:p>
    <w:p w:rsidR="0044448B" w:rsidRDefault="00061CBB" w:rsidP="0044448B">
      <w:pPr>
        <w:ind w:left="357"/>
      </w:pPr>
      <w:r>
        <w:t xml:space="preserve">In July 2022, </w:t>
      </w:r>
      <w:hyperlink r:id="rId16" w:history="1">
        <w:r w:rsidRPr="00C74F09">
          <w:rPr>
            <w:rStyle w:val="Hyperlink"/>
          </w:rPr>
          <w:t>the Victorian Government passed reforms</w:t>
        </w:r>
      </w:hyperlink>
      <w:r w:rsidR="00C74F09">
        <w:rPr>
          <w:rStyle w:val="FootnoteReference"/>
        </w:rPr>
        <w:footnoteReference w:id="7"/>
      </w:r>
      <w:r>
        <w:t xml:space="preserve"> to ban residential embedded networks and introduce a new regime – Local Energy Systems (LES) – </w:t>
      </w:r>
      <w:proofErr w:type="gramStart"/>
      <w:r>
        <w:t>which</w:t>
      </w:r>
      <w:proofErr w:type="gramEnd"/>
      <w:r>
        <w:t xml:space="preserve"> place more stringent licencing requirements on private network operators. This includes stronger consumer protections, and most relevantly, a requirement that LES’s use 100 per cent renewable electricity (mix of on-s</w:t>
      </w:r>
      <w:r w:rsidR="0044448B">
        <w:t>ite and off-site renewables).</w:t>
      </w:r>
    </w:p>
    <w:p w:rsidR="00061CBB" w:rsidRDefault="00061CBB" w:rsidP="00C74F09">
      <w:pPr>
        <w:ind w:left="357"/>
      </w:pPr>
      <w:r>
        <w:t xml:space="preserve">Engagement </w:t>
      </w:r>
      <w:proofErr w:type="gramStart"/>
      <w:r>
        <w:t>should be undertaken</w:t>
      </w:r>
      <w:proofErr w:type="gramEnd"/>
      <w:r>
        <w:t xml:space="preserve"> with Victorian private electricity network operators to investigate ways to offer </w:t>
      </w:r>
      <w:proofErr w:type="spellStart"/>
      <w:r>
        <w:t>GreenPower</w:t>
      </w:r>
      <w:proofErr w:type="spellEnd"/>
      <w:r>
        <w:t xml:space="preserve"> products to meet the new LES requirement. This approach could see whole apartment buildings switch to renewable energy, supplying individual tenancies in addition to common areas.</w:t>
      </w:r>
    </w:p>
    <w:p w:rsidR="00061CBB" w:rsidRPr="0044448B" w:rsidRDefault="00061CBB" w:rsidP="0044448B">
      <w:pPr>
        <w:pStyle w:val="ListNumber"/>
        <w:rPr>
          <w:b/>
        </w:rPr>
      </w:pPr>
      <w:r w:rsidRPr="0044448B">
        <w:rPr>
          <w:b/>
        </w:rPr>
        <w:t>Coordinate for system</w:t>
      </w:r>
      <w:r w:rsidR="00C74F09">
        <w:rPr>
          <w:b/>
        </w:rPr>
        <w:t xml:space="preserve"> reform</w:t>
      </w:r>
    </w:p>
    <w:p w:rsidR="0044448B" w:rsidRDefault="00061CBB" w:rsidP="00C74F09">
      <w:pPr>
        <w:spacing w:after="0"/>
        <w:ind w:left="357"/>
      </w:pPr>
      <w:r>
        <w:t xml:space="preserve">A suite of enabling policies and mechanisms led by federal and state governments </w:t>
      </w:r>
      <w:proofErr w:type="gramStart"/>
      <w:r>
        <w:t>will be needed</w:t>
      </w:r>
      <w:proofErr w:type="gramEnd"/>
      <w:r>
        <w:t xml:space="preserve"> to drive the transition to a 100 per </w:t>
      </w:r>
      <w:r w:rsidR="0044448B">
        <w:t>cent renewable energy system.</w:t>
      </w:r>
    </w:p>
    <w:p w:rsidR="0044448B" w:rsidRPr="0044448B" w:rsidRDefault="00061CBB" w:rsidP="00C74F09">
      <w:pPr>
        <w:pStyle w:val="Heading1"/>
        <w:spacing w:before="240"/>
        <w:ind w:left="720"/>
        <w:rPr>
          <w:rFonts w:hint="eastAsia"/>
          <w:i/>
          <w:sz w:val="22"/>
        </w:rPr>
      </w:pPr>
      <w:r w:rsidRPr="0044448B">
        <w:rPr>
          <w:i/>
          <w:sz w:val="22"/>
        </w:rPr>
        <w:t>Work with the Australian Government on the establishment of a new Renewable En</w:t>
      </w:r>
      <w:r w:rsidR="0044448B" w:rsidRPr="0044448B">
        <w:rPr>
          <w:i/>
          <w:sz w:val="22"/>
        </w:rPr>
        <w:t>ergy Target</w:t>
      </w:r>
    </w:p>
    <w:p w:rsidR="0044448B" w:rsidRDefault="00061CBB" w:rsidP="0044448B">
      <w:pPr>
        <w:ind w:left="357"/>
      </w:pPr>
      <w:proofErr w:type="spellStart"/>
      <w:r>
        <w:t>GreenPower</w:t>
      </w:r>
      <w:proofErr w:type="spellEnd"/>
      <w:r>
        <w:t xml:space="preserve"> products have an important role to play in accelerating the renewable transition, however in and of </w:t>
      </w:r>
      <w:proofErr w:type="gramStart"/>
      <w:r>
        <w:t>itself,</w:t>
      </w:r>
      <w:proofErr w:type="gramEnd"/>
      <w:r>
        <w:t xml:space="preserve"> the </w:t>
      </w:r>
      <w:proofErr w:type="spellStart"/>
      <w:r>
        <w:t>GreenPower</w:t>
      </w:r>
      <w:proofErr w:type="spellEnd"/>
      <w:r>
        <w:t xml:space="preserve"> program is not best placed to ensure delivery</w:t>
      </w:r>
      <w:r w:rsidR="0044448B">
        <w:t xml:space="preserve"> a 100 per cent renewable grid.</w:t>
      </w:r>
    </w:p>
    <w:p w:rsidR="0044448B" w:rsidRDefault="00061CBB" w:rsidP="0044448B">
      <w:pPr>
        <w:ind w:left="357"/>
      </w:pPr>
      <w:r>
        <w:t xml:space="preserve">The National </w:t>
      </w:r>
      <w:proofErr w:type="spellStart"/>
      <w:r>
        <w:t>GreenPower</w:t>
      </w:r>
      <w:proofErr w:type="spellEnd"/>
      <w:r>
        <w:t xml:space="preserve"> Steering Group and the NSW Treasury as Program Manager, </w:t>
      </w:r>
      <w:proofErr w:type="gramStart"/>
      <w:r>
        <w:t>are however well placed</w:t>
      </w:r>
      <w:proofErr w:type="gramEnd"/>
      <w:r>
        <w:t xml:space="preserve"> to advocate for the necessary policy changes, in particular t</w:t>
      </w:r>
      <w:r w:rsidR="0044448B">
        <w:t>he establishment of a new RET.</w:t>
      </w:r>
    </w:p>
    <w:p w:rsidR="0044448B" w:rsidRDefault="00061CBB" w:rsidP="0044448B">
      <w:pPr>
        <w:ind w:left="357"/>
      </w:pPr>
      <w:r>
        <w:t xml:space="preserve">A new RET would </w:t>
      </w:r>
      <w:proofErr w:type="gramStart"/>
      <w:r>
        <w:t>impact</w:t>
      </w:r>
      <w:proofErr w:type="gramEnd"/>
      <w:r>
        <w:t xml:space="preserve"> the function and prices of renewable energy certificates and shape the extent to which the </w:t>
      </w:r>
      <w:proofErr w:type="spellStart"/>
      <w:r>
        <w:t>GreenPower</w:t>
      </w:r>
      <w:proofErr w:type="spellEnd"/>
      <w:r>
        <w:t xml:space="preserve"> program can deliver environmental impact. In so doing, a new RET could solve many of the issues that </w:t>
      </w:r>
      <w:proofErr w:type="spellStart"/>
      <w:r>
        <w:t>GreenPower</w:t>
      </w:r>
      <w:proofErr w:type="spellEnd"/>
      <w:r>
        <w:t xml:space="preserve"> is facing and renew </w:t>
      </w:r>
      <w:proofErr w:type="spellStart"/>
      <w:r>
        <w:t>GreenPower’s</w:t>
      </w:r>
      <w:proofErr w:type="spellEnd"/>
      <w:r>
        <w:t xml:space="preserve"> role i</w:t>
      </w:r>
      <w:r w:rsidR="0044448B">
        <w:t>n with respect to additionally.</w:t>
      </w:r>
    </w:p>
    <w:p w:rsidR="00061CBB" w:rsidRDefault="00061CBB" w:rsidP="0044448B">
      <w:pPr>
        <w:ind w:left="357"/>
      </w:pPr>
      <w:r>
        <w:t xml:space="preserve">Given that the long-term success of the </w:t>
      </w:r>
      <w:proofErr w:type="spellStart"/>
      <w:r>
        <w:t>GreenPower</w:t>
      </w:r>
      <w:proofErr w:type="spellEnd"/>
      <w:r>
        <w:t xml:space="preserve"> program is subject to any changes in the RET beyond 2030, the future of the RET should be a key area of focus for the </w:t>
      </w:r>
      <w:proofErr w:type="spellStart"/>
      <w:r>
        <w:t>GreenPower</w:t>
      </w:r>
      <w:proofErr w:type="spellEnd"/>
      <w:r>
        <w:t xml:space="preserve"> Steering Group in their interactions wi</w:t>
      </w:r>
      <w:r w:rsidR="0044448B">
        <w:t>th the Australian Government.</w:t>
      </w:r>
    </w:p>
    <w:p w:rsidR="00061CBB" w:rsidRPr="00C74F09" w:rsidRDefault="00061CBB" w:rsidP="00C74F09">
      <w:pPr>
        <w:pStyle w:val="Heading1"/>
        <w:ind w:left="720"/>
        <w:rPr>
          <w:rFonts w:hint="eastAsia"/>
          <w:i/>
          <w:sz w:val="22"/>
        </w:rPr>
      </w:pPr>
      <w:r w:rsidRPr="0044448B">
        <w:rPr>
          <w:i/>
          <w:sz w:val="22"/>
        </w:rPr>
        <w:t>Improve alignment and coordination with the Australian Government</w:t>
      </w:r>
    </w:p>
    <w:p w:rsidR="0044448B" w:rsidRDefault="00061CBB" w:rsidP="0044448B">
      <w:pPr>
        <w:ind w:left="357"/>
      </w:pPr>
      <w:r>
        <w:t xml:space="preserve">Recognising that administration of the </w:t>
      </w:r>
      <w:proofErr w:type="spellStart"/>
      <w:r>
        <w:t>GreenPower</w:t>
      </w:r>
      <w:proofErr w:type="spellEnd"/>
      <w:r>
        <w:t xml:space="preserve"> program sits within NSW Treasury, and acknowledging the political history that led to this arrangement, the City of Melbourne would encourage </w:t>
      </w:r>
      <w:proofErr w:type="spellStart"/>
      <w:r>
        <w:t>GreenPower</w:t>
      </w:r>
      <w:proofErr w:type="spellEnd"/>
      <w:r>
        <w:t xml:space="preserve"> to pursue greater levels of engagement and coordination with the Australian Government; particularly the Clean Energy Regulator and the Department of Climate Change, Energy, the En</w:t>
      </w:r>
      <w:r w:rsidR="0044448B">
        <w:t>vironment and Water (DCCEEW).</w:t>
      </w:r>
    </w:p>
    <w:p w:rsidR="0044448B" w:rsidRDefault="00061CBB" w:rsidP="0044448B">
      <w:pPr>
        <w:ind w:left="357"/>
      </w:pPr>
      <w:r>
        <w:t xml:space="preserve">Having governance of </w:t>
      </w:r>
      <w:proofErr w:type="spellStart"/>
      <w:r>
        <w:t>GreenPower</w:t>
      </w:r>
      <w:proofErr w:type="spellEnd"/>
      <w:r>
        <w:t xml:space="preserve"> separated from the arms of government with responsibility for national energy and climate policy and administration, clearly presents issues in terms of consistency and efficiency. A presumably low level of coordination between </w:t>
      </w:r>
      <w:proofErr w:type="spellStart"/>
      <w:r>
        <w:t>GreenPower</w:t>
      </w:r>
      <w:proofErr w:type="spellEnd"/>
      <w:r>
        <w:t xml:space="preserve"> and the Australian Government appears to have led to a misalignment on carbon accounting standards and exacerbated the issue of double counting that </w:t>
      </w:r>
      <w:proofErr w:type="gramStart"/>
      <w:r>
        <w:t>has been recognised</w:t>
      </w:r>
      <w:proofErr w:type="gramEnd"/>
      <w:r>
        <w:t xml:space="preserve"> in th</w:t>
      </w:r>
      <w:r w:rsidR="0044448B">
        <w:t>e program for several years.</w:t>
      </w:r>
    </w:p>
    <w:p w:rsidR="00061CBB" w:rsidRDefault="00061CBB" w:rsidP="00C74F09">
      <w:pPr>
        <w:spacing w:after="360"/>
        <w:ind w:left="357"/>
      </w:pPr>
      <w:r>
        <w:t xml:space="preserve">The potential for </w:t>
      </w:r>
      <w:proofErr w:type="spellStart"/>
      <w:r>
        <w:t>GreenPower</w:t>
      </w:r>
      <w:proofErr w:type="spellEnd"/>
      <w:r>
        <w:t xml:space="preserve"> administration and delivery to </w:t>
      </w:r>
      <w:proofErr w:type="gramStart"/>
      <w:r>
        <w:t>be taken on</w:t>
      </w:r>
      <w:proofErr w:type="gramEnd"/>
      <w:r>
        <w:t xml:space="preserve"> by the Australian Government should be investigated. At the very least, the </w:t>
      </w:r>
      <w:proofErr w:type="spellStart"/>
      <w:r>
        <w:t>GreenPower</w:t>
      </w:r>
      <w:proofErr w:type="spellEnd"/>
      <w:r>
        <w:t xml:space="preserve"> program should seek to better align and work in partnership with federal government administered programs and agencies such as the Clean Energy Regulator and Climate Active. This would help ensure that definitions, processes and accounting frameworks are consistent and complimentary for partic</w:t>
      </w:r>
      <w:r w:rsidR="0044448B">
        <w:t>ipants across these programs.</w:t>
      </w:r>
    </w:p>
    <w:p w:rsidR="00061CBB" w:rsidRDefault="00061CBB" w:rsidP="00061CBB">
      <w:r>
        <w:t xml:space="preserve">The City of Melbourne appreciates the opportunity to provide input into </w:t>
      </w:r>
      <w:proofErr w:type="spellStart"/>
      <w:r>
        <w:t>GreenPower’s</w:t>
      </w:r>
      <w:proofErr w:type="spellEnd"/>
      <w:r>
        <w:t xml:space="preserve"> 2022 Program Review and are committed to supporting the program into the future. City of Melbourne welcomes the opportunity to respond to any future consultation regarding the long-term program design for the National </w:t>
      </w:r>
      <w:proofErr w:type="spellStart"/>
      <w:r>
        <w:t>Gre</w:t>
      </w:r>
      <w:r w:rsidR="0044448B">
        <w:t>enPower</w:t>
      </w:r>
      <w:proofErr w:type="spellEnd"/>
      <w:r w:rsidR="0044448B">
        <w:t xml:space="preserve"> Accreditation Scheme.</w:t>
      </w:r>
    </w:p>
    <w:p w:rsidR="00061CBB" w:rsidRDefault="00061CBB" w:rsidP="0044448B">
      <w:pPr>
        <w:spacing w:after="480"/>
      </w:pPr>
      <w:r>
        <w:t xml:space="preserve">Should you have queries or questions relating to this submission, please contact </w:t>
      </w:r>
      <w:hyperlink r:id="rId17" w:history="1">
        <w:r w:rsidR="0044448B" w:rsidRPr="001E2AB1">
          <w:rPr>
            <w:rStyle w:val="Hyperlink"/>
          </w:rPr>
          <w:t>john.griffiths@melbourne.vic.gov.au</w:t>
        </w:r>
      </w:hyperlink>
    </w:p>
    <w:p w:rsidR="00BE6801" w:rsidRDefault="00061CBB" w:rsidP="0044448B">
      <w:pPr>
        <w:spacing w:before="240" w:after="360"/>
      </w:pPr>
      <w:r>
        <w:t>Kind regards</w:t>
      </w:r>
      <w:bookmarkEnd w:id="1"/>
      <w:bookmarkEnd w:id="2"/>
      <w:bookmarkEnd w:id="3"/>
      <w:bookmarkEnd w:id="4"/>
      <w:bookmarkEnd w:id="5"/>
      <w:r w:rsidR="00C74F09">
        <w:t>,</w:t>
      </w:r>
    </w:p>
    <w:p w:rsidR="0044448B" w:rsidRPr="0044448B" w:rsidRDefault="0044448B" w:rsidP="0044448B">
      <w:pPr>
        <w:spacing w:after="120"/>
        <w:rPr>
          <w:lang w:val="en-US"/>
        </w:rPr>
      </w:pPr>
      <w:r w:rsidRPr="0044448B">
        <w:rPr>
          <w:lang w:val="en-US"/>
        </w:rPr>
        <w:t>Tiffany Crawford</w:t>
      </w:r>
    </w:p>
    <w:p w:rsidR="004A26E3" w:rsidRPr="0044448B" w:rsidRDefault="0044448B" w:rsidP="00061CBB">
      <w:pPr>
        <w:rPr>
          <w:lang w:val="en-US"/>
        </w:rPr>
      </w:pPr>
      <w:r w:rsidRPr="0044448B">
        <w:rPr>
          <w:lang w:val="en-US"/>
        </w:rPr>
        <w:t>Co-Director, Climate Change and City Resilience</w:t>
      </w:r>
    </w:p>
    <w:sectPr w:rsidR="004A26E3" w:rsidRPr="0044448B" w:rsidSect="00EF11A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AA" w:rsidRDefault="002672AA" w:rsidP="00BC719D">
      <w:pPr>
        <w:spacing w:after="0"/>
      </w:pPr>
      <w:r>
        <w:separator/>
      </w:r>
    </w:p>
  </w:endnote>
  <w:endnote w:type="continuationSeparator" w:id="0">
    <w:p w:rsidR="002672AA" w:rsidRDefault="002672A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AA" w:rsidRDefault="002672AA" w:rsidP="00577A39">
      <w:pPr>
        <w:spacing w:after="40" w:line="240" w:lineRule="auto"/>
      </w:pPr>
      <w:r>
        <w:separator/>
      </w:r>
    </w:p>
  </w:footnote>
  <w:footnote w:type="continuationSeparator" w:id="0">
    <w:p w:rsidR="002672AA" w:rsidRDefault="002672AA" w:rsidP="00EA2130">
      <w:r>
        <w:continuationSeparator/>
      </w:r>
    </w:p>
  </w:footnote>
  <w:footnote w:id="1">
    <w:p w:rsidR="006F0323" w:rsidRDefault="006F0323">
      <w:pPr>
        <w:pStyle w:val="FootnoteText"/>
      </w:pPr>
      <w:r>
        <w:rPr>
          <w:rStyle w:val="FootnoteReference"/>
        </w:rPr>
        <w:footnoteRef/>
      </w:r>
      <w:r>
        <w:t xml:space="preserve"> </w:t>
      </w:r>
      <w:r w:rsidRPr="006F0323">
        <w:t>https://www.melbourne.vic.gov.au/sitecollectiondocuments/climate-change-mitigation-strategy-2050.pdf</w:t>
      </w:r>
    </w:p>
  </w:footnote>
  <w:footnote w:id="2">
    <w:p w:rsidR="006F0323" w:rsidRDefault="006F0323">
      <w:pPr>
        <w:pStyle w:val="FootnoteText"/>
      </w:pPr>
      <w:r>
        <w:rPr>
          <w:rStyle w:val="FootnoteReference"/>
        </w:rPr>
        <w:footnoteRef/>
      </w:r>
      <w:r>
        <w:t xml:space="preserve"> </w:t>
      </w:r>
      <w:r w:rsidRPr="006F0323">
        <w:t>https://www.melbourne.vic.gov.au/about-council/committees-meetings/meeting-archive/MeetingAgendaItemAttachments/886/15806/FEB20%20FMC2%20AGENDA%20ITEM%206.5.pdf</w:t>
      </w:r>
    </w:p>
  </w:footnote>
  <w:footnote w:id="3">
    <w:p w:rsidR="006F0323" w:rsidRDefault="006F0323">
      <w:pPr>
        <w:pStyle w:val="FootnoteText"/>
      </w:pPr>
      <w:r>
        <w:rPr>
          <w:rStyle w:val="FootnoteReference"/>
        </w:rPr>
        <w:footnoteRef/>
      </w:r>
      <w:r>
        <w:t xml:space="preserve"> </w:t>
      </w:r>
      <w:r w:rsidRPr="006F0323">
        <w:t>https://aemo.com.au/en/energy-systems/major-publications/integrated-system-plan-isp/2022-integrated-system-plan-isp</w:t>
      </w:r>
    </w:p>
  </w:footnote>
  <w:footnote w:id="4">
    <w:p w:rsidR="00413DFC" w:rsidRDefault="00413DFC">
      <w:pPr>
        <w:pStyle w:val="FootnoteText"/>
      </w:pPr>
      <w:r>
        <w:rPr>
          <w:rStyle w:val="FootnoteReference"/>
        </w:rPr>
        <w:footnoteRef/>
      </w:r>
      <w:r>
        <w:t xml:space="preserve"> </w:t>
      </w:r>
      <w:r w:rsidRPr="00413DFC">
        <w:t>https://ghgprotocol.org/scope_2_guidance</w:t>
      </w:r>
    </w:p>
  </w:footnote>
  <w:footnote w:id="5">
    <w:p w:rsidR="00C74F09" w:rsidRDefault="00C74F09">
      <w:pPr>
        <w:pStyle w:val="FootnoteText"/>
      </w:pPr>
      <w:r>
        <w:rPr>
          <w:rStyle w:val="FootnoteReference"/>
        </w:rPr>
        <w:footnoteRef/>
      </w:r>
      <w:r>
        <w:t xml:space="preserve"> </w:t>
      </w:r>
      <w:r w:rsidRPr="00C74F09">
        <w:t>https://getgreenpower.sydney/</w:t>
      </w:r>
    </w:p>
  </w:footnote>
  <w:footnote w:id="6">
    <w:p w:rsidR="00C74F09" w:rsidRDefault="00C74F09">
      <w:pPr>
        <w:pStyle w:val="FootnoteText"/>
      </w:pPr>
      <w:r>
        <w:rPr>
          <w:rStyle w:val="FootnoteReference"/>
        </w:rPr>
        <w:footnoteRef/>
      </w:r>
      <w:r>
        <w:t xml:space="preserve"> </w:t>
      </w:r>
      <w:r w:rsidRPr="00C74F09">
        <w:t>https://compare.energy.vic.gov.au/</w:t>
      </w:r>
    </w:p>
  </w:footnote>
  <w:footnote w:id="7">
    <w:p w:rsidR="00C74F09" w:rsidRDefault="00C74F09">
      <w:pPr>
        <w:pStyle w:val="FootnoteText"/>
      </w:pPr>
      <w:r>
        <w:rPr>
          <w:rStyle w:val="FootnoteReference"/>
        </w:rPr>
        <w:footnoteRef/>
      </w:r>
      <w:r>
        <w:t xml:space="preserve"> </w:t>
      </w:r>
      <w:r w:rsidRPr="00C74F09">
        <w:t>https://engage.vic.gov.au/embedded-networks-review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04" w:rsidRDefault="005D1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1"/>
  </w:num>
  <w:num w:numId="19">
    <w:abstractNumId w:val="11"/>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AA"/>
    <w:rsid w:val="00020B35"/>
    <w:rsid w:val="000437C5"/>
    <w:rsid w:val="000474AE"/>
    <w:rsid w:val="00061CBB"/>
    <w:rsid w:val="00071857"/>
    <w:rsid w:val="000A2BDA"/>
    <w:rsid w:val="000A48D5"/>
    <w:rsid w:val="000B5EAA"/>
    <w:rsid w:val="000F3535"/>
    <w:rsid w:val="00190B0E"/>
    <w:rsid w:val="001B51BF"/>
    <w:rsid w:val="001F1BBE"/>
    <w:rsid w:val="001F46B4"/>
    <w:rsid w:val="001F554D"/>
    <w:rsid w:val="002436A6"/>
    <w:rsid w:val="002438B7"/>
    <w:rsid w:val="0024773F"/>
    <w:rsid w:val="002672AA"/>
    <w:rsid w:val="002D630D"/>
    <w:rsid w:val="002E4153"/>
    <w:rsid w:val="002F47B6"/>
    <w:rsid w:val="002F6A88"/>
    <w:rsid w:val="00380F44"/>
    <w:rsid w:val="00392688"/>
    <w:rsid w:val="003D63A8"/>
    <w:rsid w:val="003E3A9F"/>
    <w:rsid w:val="00407429"/>
    <w:rsid w:val="00413DFC"/>
    <w:rsid w:val="00426584"/>
    <w:rsid w:val="00431D45"/>
    <w:rsid w:val="0044448B"/>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1E04"/>
    <w:rsid w:val="005D30BA"/>
    <w:rsid w:val="005F4391"/>
    <w:rsid w:val="00687D4A"/>
    <w:rsid w:val="006A2F63"/>
    <w:rsid w:val="006A3718"/>
    <w:rsid w:val="006C7F7B"/>
    <w:rsid w:val="006F0323"/>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0736D"/>
    <w:rsid w:val="00C14F9F"/>
    <w:rsid w:val="00C2007C"/>
    <w:rsid w:val="00C37F6A"/>
    <w:rsid w:val="00C42412"/>
    <w:rsid w:val="00C56F80"/>
    <w:rsid w:val="00C73DA2"/>
    <w:rsid w:val="00C74F09"/>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hgprotocol.org/scope_2_guidance"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emo.com.au/en/energy-systems/major-publications/integrated-system-plan-isp/2022-integrated-system-plan-isp" TargetMode="External"/><Relationship Id="rId17" Type="http://schemas.openxmlformats.org/officeDocument/2006/relationships/hyperlink" Target="mailto:john.griffiths@melbourne.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gage.vic.gov.au/embedded-networks-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committees-meetings/meeting-archive/MeetingAgendaItemAttachments/886/15806/FEB20%20FMC2%20AGENDA%20ITEM%206.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are.energy.vic.gov.au/"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melbourne.vic.gov.au/sitecollectiondocuments/climate-change-mitigation-strategy-205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reenpower.admin@planning.nsw.gov.au" TargetMode="External"/><Relationship Id="rId14" Type="http://schemas.openxmlformats.org/officeDocument/2006/relationships/hyperlink" Target="https://getgreenpower.sydney/"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68C98-74DA-4570-89C0-425F462D6A3E}">
  <ds:schemaRefs>
    <ds:schemaRef ds:uri="http://schemas.openxmlformats.org/officeDocument/2006/bibliography"/>
  </ds:schemaRefs>
</ds:datastoreItem>
</file>

<file path=customXml/itemProps2.xml><?xml version="1.0" encoding="utf-8"?>
<ds:datastoreItem xmlns:ds="http://schemas.openxmlformats.org/officeDocument/2006/customXml" ds:itemID="{7AF9516C-DCAF-490D-84D2-2986AAEA1594}"/>
</file>

<file path=customXml/itemProps3.xml><?xml version="1.0" encoding="utf-8"?>
<ds:datastoreItem xmlns:ds="http://schemas.openxmlformats.org/officeDocument/2006/customXml" ds:itemID="{E32A3D6D-62F8-488C-8193-958292BB1C8C}"/>
</file>

<file path=customXml/itemProps4.xml><?xml version="1.0" encoding="utf-8"?>
<ds:datastoreItem xmlns:ds="http://schemas.openxmlformats.org/officeDocument/2006/customXml" ds:itemID="{F70C121E-1AC4-4CE6-9155-EAD545F4A4C7}"/>
</file>

<file path=docProps/app.xml><?xml version="1.0" encoding="utf-8"?>
<Properties xmlns="http://schemas.openxmlformats.org/officeDocument/2006/extended-properties" xmlns:vt="http://schemas.openxmlformats.org/officeDocument/2006/docPropsVTypes">
  <Template>Normal.dotm</Template>
  <TotalTime>0</TotalTime>
  <Pages>7</Pages>
  <Words>2965</Words>
  <Characters>16903</Characters>
  <Application>Microsoft Office Word</Application>
  <DocSecurity>0</DocSecurity>
  <Lines>140</Lines>
  <Paragraphs>39</Paragraphs>
  <ScaleCrop>false</ScaleCrop>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GreenPower Program Review 2022</dc:title>
  <dc:subject/>
  <dc:creator>City of Melbourne</dc:creator>
  <cp:keywords/>
  <cp:lastModifiedBy/>
  <cp:revision>1</cp:revision>
  <dcterms:created xsi:type="dcterms:W3CDTF">2022-09-06T01:25:00Z</dcterms:created>
  <dcterms:modified xsi:type="dcterms:W3CDTF">2022-09-06T01:25:00Z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