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14:anchorId="23876A0F" wp14:editId="1CFC820A">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r w:rsidR="00667809">
        <w:t xml:space="preserve"> </w:t>
      </w:r>
      <w:r w:rsidR="00667809" w:rsidRPr="006A24D0">
        <w:rPr>
          <w:noProof/>
          <w:sz w:val="36"/>
          <w:lang w:eastAsia="en-AU"/>
        </w:rPr>
        <w:drawing>
          <wp:inline distT="0" distB="0" distL="0" distR="0" wp14:anchorId="1E79358E" wp14:editId="07EB1897">
            <wp:extent cx="1951355" cy="932815"/>
            <wp:effectExtent l="0" t="0" r="0" b="0"/>
            <wp:docPr id="8" name="Picture 8" descr="Climate Active,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mate_Active_Gov_ Master_Logo_pos_RGB.png"/>
                    <pic:cNvPicPr/>
                  </pic:nvPicPr>
                  <pic:blipFill rotWithShape="1">
                    <a:blip r:embed="rId10" cstate="print">
                      <a:extLst>
                        <a:ext uri="{28A0092B-C50C-407E-A947-70E740481C1C}">
                          <a14:useLocalDpi xmlns:a14="http://schemas.microsoft.com/office/drawing/2010/main" val="0"/>
                        </a:ext>
                      </a:extLst>
                    </a:blip>
                    <a:srcRect l="3521"/>
                    <a:stretch/>
                  </pic:blipFill>
                  <pic:spPr bwMode="auto">
                    <a:xfrm>
                      <a:off x="0" y="0"/>
                      <a:ext cx="1951355" cy="932815"/>
                    </a:xfrm>
                    <a:prstGeom prst="rect">
                      <a:avLst/>
                    </a:prstGeom>
                    <a:ln>
                      <a:noFill/>
                    </a:ln>
                    <a:extLst>
                      <a:ext uri="{53640926-AAD7-44D8-BBD7-CCE9431645EC}">
                        <a14:shadowObscured xmlns:a14="http://schemas.microsoft.com/office/drawing/2010/main"/>
                      </a:ext>
                    </a:extLst>
                  </pic:spPr>
                </pic:pic>
              </a:graphicData>
            </a:graphic>
          </wp:inline>
        </w:drawing>
      </w:r>
    </w:p>
    <w:p w:rsidR="000F3535" w:rsidRDefault="00667809" w:rsidP="00C0000D">
      <w:pPr>
        <w:pStyle w:val="DocumentTitle"/>
        <w:spacing w:before="720" w:after="360"/>
      </w:pPr>
      <w:r>
        <w:t>Australian Government Climate Active Public Disclosure Statemen</w:t>
      </w:r>
      <w:r w:rsidR="00D5586A">
        <w:t>t</w:t>
      </w:r>
    </w:p>
    <w:p w:rsidR="00667809" w:rsidRPr="00A0432B" w:rsidRDefault="00667809" w:rsidP="00D5586A">
      <w:pPr>
        <w:pStyle w:val="Subtitle2"/>
      </w:pPr>
      <w:r w:rsidRPr="00A0432B">
        <w:t>NAME OF CERTIFIED ENTITY:</w:t>
      </w:r>
      <w:r w:rsidRPr="00A0432B">
        <w:tab/>
      </w:r>
      <w:r>
        <w:t>City of Melbourne</w:t>
      </w:r>
    </w:p>
    <w:p w:rsidR="00667809" w:rsidRPr="00F128C4" w:rsidRDefault="00667809" w:rsidP="00D5586A">
      <w:pPr>
        <w:pStyle w:val="Subtitle2"/>
      </w:pPr>
      <w:r w:rsidRPr="00F128C4">
        <w:t>EVENT NAME:</w:t>
      </w:r>
      <w:r w:rsidRPr="00F128C4">
        <w:tab/>
      </w:r>
      <w:r>
        <w:t xml:space="preserve">Melbourne </w:t>
      </w:r>
      <w:r w:rsidR="008A0923">
        <w:t>Music</w:t>
      </w:r>
      <w:r>
        <w:t xml:space="preserve"> Week </w:t>
      </w:r>
    </w:p>
    <w:p w:rsidR="00667809" w:rsidRPr="00F128C4" w:rsidRDefault="00667809" w:rsidP="00D5586A">
      <w:pPr>
        <w:pStyle w:val="Subtitle2"/>
      </w:pPr>
      <w:r w:rsidRPr="00F128C4">
        <w:t>EVENT DATE/S:</w:t>
      </w:r>
      <w:r w:rsidRPr="00F128C4">
        <w:tab/>
      </w:r>
      <w:r w:rsidRPr="00DE4513">
        <w:t>Certification Period July 2019 – July 2020</w:t>
      </w:r>
    </w:p>
    <w:p w:rsidR="00667809" w:rsidRPr="00F128C4" w:rsidRDefault="00667809" w:rsidP="00D5586A">
      <w:pPr>
        <w:pStyle w:val="Subtitle2"/>
      </w:pPr>
      <w:r w:rsidRPr="00F128C4">
        <w:t>EVENT TYPE:</w:t>
      </w:r>
      <w:r>
        <w:tab/>
        <w:t>Large Event Portfolio</w:t>
      </w:r>
    </w:p>
    <w:p w:rsidR="00667809" w:rsidRPr="00A0432B" w:rsidRDefault="00667809" w:rsidP="00D5586A">
      <w:pPr>
        <w:pStyle w:val="Bold"/>
      </w:pPr>
      <w:r w:rsidRPr="00A0432B">
        <w:t>Declaration</w:t>
      </w:r>
    </w:p>
    <w:p w:rsidR="00667809" w:rsidRPr="00A0432B" w:rsidRDefault="00667809" w:rsidP="00667809">
      <w:r w:rsidRPr="00A0432B">
        <w:t xml:space="preserve">To the best of my knowledge, the information provided in this </w:t>
      </w:r>
      <w:r>
        <w:t>Public Disclosure Statement</w:t>
      </w:r>
      <w:r w:rsidRPr="00A0432B">
        <w:t xml:space="preserve"> is true and correct and meets the requirements of the </w:t>
      </w:r>
      <w:r>
        <w:t>Climate Active Carbon Neutral Standard</w:t>
      </w:r>
      <w:r w:rsidRPr="00A043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982"/>
      </w:tblGrid>
      <w:tr w:rsidR="00667809" w:rsidTr="00667809">
        <w:trPr>
          <w:trHeight w:val="680"/>
        </w:trPr>
        <w:tc>
          <w:tcPr>
            <w:tcW w:w="4646" w:type="dxa"/>
            <w:tcBorders>
              <w:top w:val="single" w:sz="4" w:space="0" w:color="auto"/>
              <w:left w:val="single" w:sz="4" w:space="0" w:color="auto"/>
              <w:bottom w:val="single" w:sz="4" w:space="0" w:color="auto"/>
              <w:right w:val="single" w:sz="4" w:space="0" w:color="auto"/>
            </w:tcBorders>
            <w:hideMark/>
          </w:tcPr>
          <w:p w:rsidR="00667809" w:rsidRDefault="00667809" w:rsidP="00667809">
            <w:pPr>
              <w:spacing w:line="256" w:lineRule="auto"/>
            </w:pPr>
            <w:r>
              <w:t>Signature</w:t>
            </w:r>
          </w:p>
        </w:tc>
        <w:tc>
          <w:tcPr>
            <w:tcW w:w="4982" w:type="dxa"/>
            <w:tcBorders>
              <w:top w:val="single" w:sz="4" w:space="0" w:color="auto"/>
              <w:left w:val="single" w:sz="4" w:space="0" w:color="auto"/>
              <w:bottom w:val="single" w:sz="4" w:space="0" w:color="auto"/>
              <w:right w:val="single" w:sz="4" w:space="0" w:color="auto"/>
            </w:tcBorders>
            <w:hideMark/>
          </w:tcPr>
          <w:p w:rsidR="00667809" w:rsidRDefault="00667809" w:rsidP="00667809">
            <w:pPr>
              <w:spacing w:line="256" w:lineRule="auto"/>
            </w:pPr>
            <w:r>
              <w:t>Date   24/06/2020</w:t>
            </w:r>
          </w:p>
        </w:tc>
      </w:tr>
      <w:tr w:rsidR="00667809" w:rsidRPr="00A0432B" w:rsidTr="00667809">
        <w:trPr>
          <w:trHeight w:val="680"/>
        </w:trPr>
        <w:tc>
          <w:tcPr>
            <w:tcW w:w="9628" w:type="dxa"/>
            <w:gridSpan w:val="2"/>
          </w:tcPr>
          <w:p w:rsidR="00667809" w:rsidRPr="00A0432B" w:rsidRDefault="00667809" w:rsidP="00667809">
            <w:r>
              <w:t>Louise Scott</w:t>
            </w:r>
          </w:p>
        </w:tc>
      </w:tr>
      <w:tr w:rsidR="00667809" w:rsidRPr="00A0432B" w:rsidTr="00667809">
        <w:trPr>
          <w:trHeight w:val="680"/>
        </w:trPr>
        <w:tc>
          <w:tcPr>
            <w:tcW w:w="9628" w:type="dxa"/>
            <w:gridSpan w:val="2"/>
          </w:tcPr>
          <w:p w:rsidR="00667809" w:rsidRPr="00A0432B" w:rsidRDefault="00667809" w:rsidP="00667809">
            <w:r>
              <w:t xml:space="preserve">Director – Tourism and Events, City of Melbourne  </w:t>
            </w:r>
          </w:p>
        </w:tc>
      </w:tr>
    </w:tbl>
    <w:p w:rsidR="00667809" w:rsidRPr="00A0432B" w:rsidRDefault="00667809" w:rsidP="00667809">
      <w:r>
        <w:rPr>
          <w:noProof/>
          <w:lang w:eastAsia="en-AU"/>
        </w:rPr>
        <w:drawing>
          <wp:inline distT="0" distB="0" distL="0" distR="0" wp14:anchorId="04430695" wp14:editId="23B4012F">
            <wp:extent cx="2682245" cy="694945"/>
            <wp:effectExtent l="0" t="0" r="3810" b="0"/>
            <wp:docPr id="7" name="Picture 7" descr="Australian Government Department of Industry, Science, Energy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2245" cy="694945"/>
                    </a:xfrm>
                    <a:prstGeom prst="rect">
                      <a:avLst/>
                    </a:prstGeom>
                  </pic:spPr>
                </pic:pic>
              </a:graphicData>
            </a:graphic>
          </wp:inline>
        </w:drawing>
      </w:r>
    </w:p>
    <w:p w:rsidR="00D5586A" w:rsidRDefault="00667809" w:rsidP="00C0000D">
      <w:r>
        <w:rPr>
          <w:sz w:val="16"/>
        </w:rPr>
        <w:t>Public Disclosure Statement</w:t>
      </w:r>
      <w:r w:rsidRPr="00A0432B">
        <w:rPr>
          <w:sz w:val="16"/>
        </w:rPr>
        <w:t xml:space="preserve"> documents are prepared by the submitting organisation. The material in </w:t>
      </w:r>
      <w:r>
        <w:rPr>
          <w:sz w:val="16"/>
        </w:rPr>
        <w:t>Public Disclosure Statement</w:t>
      </w:r>
      <w:r w:rsidRPr="00A0432B">
        <w:rPr>
          <w:sz w:val="16"/>
        </w:rPr>
        <w:t xml:space="preserve"> documents represents the views of the organisation and do not necessarily reflect the views of the Commonwealth. The Commonwealth does not guarantee the accuracy of the contents of the </w:t>
      </w:r>
      <w:r>
        <w:rPr>
          <w:sz w:val="16"/>
        </w:rPr>
        <w:t>Public Disclosure Statement</w:t>
      </w:r>
      <w:r w:rsidRPr="00A0432B">
        <w:rPr>
          <w:sz w:val="16"/>
        </w:rPr>
        <w:t xml:space="preserve"> documents and disclaims liability for any loss arising from the use of the document for any purpose.</w:t>
      </w:r>
      <w:r w:rsidR="00D5586A">
        <w:br w:type="page"/>
      </w:r>
    </w:p>
    <w:bookmarkStart w:id="0" w:name="_Toc47888199" w:displacedByCustomXml="next"/>
    <w:sdt>
      <w:sdtPr>
        <w:rPr>
          <w:rFonts w:asciiTheme="minorHAnsi" w:eastAsiaTheme="minorHAnsi" w:hAnsiTheme="minorHAnsi" w:cstheme="minorBidi"/>
          <w:b/>
          <w:bCs w:val="0"/>
          <w:sz w:val="22"/>
          <w:szCs w:val="22"/>
          <w:lang w:val="en-AU"/>
        </w:rPr>
        <w:id w:val="-1597159720"/>
        <w:docPartObj>
          <w:docPartGallery w:val="Table of Contents"/>
          <w:docPartUnique/>
        </w:docPartObj>
      </w:sdtPr>
      <w:sdtEndPr>
        <w:rPr>
          <w:rFonts w:ascii="Arial" w:eastAsia="MS Mincho" w:hAnsi="Arial" w:cs="Times New Roman"/>
          <w:b w:val="0"/>
          <w:noProof/>
          <w:sz w:val="20"/>
          <w:szCs w:val="24"/>
        </w:rPr>
      </w:sdtEndPr>
      <w:sdtContent>
        <w:p w:rsidR="00667809" w:rsidRDefault="00667809" w:rsidP="00E96298">
          <w:pPr>
            <w:pStyle w:val="Heading1"/>
          </w:pPr>
          <w:r w:rsidRPr="00E96298">
            <w:t>Contents</w:t>
          </w:r>
          <w:bookmarkEnd w:id="0"/>
        </w:p>
        <w:p w:rsidR="007251E6" w:rsidRDefault="00667809" w:rsidP="007251E6">
          <w:pPr>
            <w:pStyle w:val="TOC1"/>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7888200" w:history="1">
            <w:r w:rsidR="007251E6" w:rsidRPr="00B13AE6">
              <w:rPr>
                <w:rStyle w:val="Hyperlink"/>
                <w:noProof/>
                <w:spacing w:val="-1"/>
              </w:rPr>
              <w:t>Carbon</w:t>
            </w:r>
            <w:r w:rsidR="007251E6" w:rsidRPr="00B13AE6">
              <w:rPr>
                <w:rStyle w:val="Hyperlink"/>
                <w:noProof/>
                <w:spacing w:val="-11"/>
              </w:rPr>
              <w:t xml:space="preserve"> </w:t>
            </w:r>
            <w:r w:rsidR="007251E6" w:rsidRPr="00B13AE6">
              <w:rPr>
                <w:rStyle w:val="Hyperlink"/>
                <w:noProof/>
                <w:spacing w:val="-1"/>
              </w:rPr>
              <w:t>neutral</w:t>
            </w:r>
            <w:r w:rsidR="007251E6" w:rsidRPr="00B13AE6">
              <w:rPr>
                <w:rStyle w:val="Hyperlink"/>
                <w:noProof/>
                <w:spacing w:val="-11"/>
              </w:rPr>
              <w:t xml:space="preserve"> </w:t>
            </w:r>
            <w:r w:rsidR="007251E6" w:rsidRPr="00B13AE6">
              <w:rPr>
                <w:rStyle w:val="Hyperlink"/>
                <w:noProof/>
                <w:spacing w:val="-1"/>
              </w:rPr>
              <w:t>information</w:t>
            </w:r>
            <w:r w:rsidR="007251E6">
              <w:rPr>
                <w:noProof/>
                <w:webHidden/>
              </w:rPr>
              <w:tab/>
            </w:r>
            <w:r w:rsidR="007251E6">
              <w:rPr>
                <w:noProof/>
                <w:webHidden/>
              </w:rPr>
              <w:fldChar w:fldCharType="begin"/>
            </w:r>
            <w:r w:rsidR="007251E6">
              <w:rPr>
                <w:noProof/>
                <w:webHidden/>
              </w:rPr>
              <w:instrText xml:space="preserve"> PAGEREF _Toc47888200 \h </w:instrText>
            </w:r>
            <w:r w:rsidR="007251E6">
              <w:rPr>
                <w:noProof/>
                <w:webHidden/>
              </w:rPr>
            </w:r>
            <w:r w:rsidR="007251E6">
              <w:rPr>
                <w:noProof/>
                <w:webHidden/>
              </w:rPr>
              <w:fldChar w:fldCharType="separate"/>
            </w:r>
            <w:r w:rsidR="007251E6">
              <w:rPr>
                <w:noProof/>
                <w:webHidden/>
              </w:rPr>
              <w:t>4</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01" w:history="1">
            <w:r w:rsidR="007251E6" w:rsidRPr="00B13AE6">
              <w:rPr>
                <w:rStyle w:val="Hyperlink"/>
                <w:noProof/>
                <w:spacing w:val="-1"/>
              </w:rPr>
              <w:t>Description of certification</w:t>
            </w:r>
            <w:r w:rsidR="007251E6">
              <w:rPr>
                <w:noProof/>
                <w:webHidden/>
              </w:rPr>
              <w:tab/>
            </w:r>
            <w:r w:rsidR="007251E6">
              <w:rPr>
                <w:noProof/>
                <w:webHidden/>
              </w:rPr>
              <w:fldChar w:fldCharType="begin"/>
            </w:r>
            <w:r w:rsidR="007251E6">
              <w:rPr>
                <w:noProof/>
                <w:webHidden/>
              </w:rPr>
              <w:instrText xml:space="preserve"> PAGEREF _Toc47888201 \h </w:instrText>
            </w:r>
            <w:r w:rsidR="007251E6">
              <w:rPr>
                <w:noProof/>
                <w:webHidden/>
              </w:rPr>
            </w:r>
            <w:r w:rsidR="007251E6">
              <w:rPr>
                <w:noProof/>
                <w:webHidden/>
              </w:rPr>
              <w:fldChar w:fldCharType="separate"/>
            </w:r>
            <w:r w:rsidR="007251E6">
              <w:rPr>
                <w:noProof/>
                <w:webHidden/>
              </w:rPr>
              <w:t>4</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02" w:history="1">
            <w:r w:rsidR="007251E6" w:rsidRPr="00B13AE6">
              <w:rPr>
                <w:rStyle w:val="Hyperlink"/>
                <w:noProof/>
                <w:spacing w:val="-1"/>
              </w:rPr>
              <w:t>Changes since pre-event report</w:t>
            </w:r>
            <w:r w:rsidR="007251E6">
              <w:rPr>
                <w:noProof/>
                <w:webHidden/>
              </w:rPr>
              <w:tab/>
            </w:r>
            <w:r w:rsidR="007251E6">
              <w:rPr>
                <w:noProof/>
                <w:webHidden/>
              </w:rPr>
              <w:fldChar w:fldCharType="begin"/>
            </w:r>
            <w:r w:rsidR="007251E6">
              <w:rPr>
                <w:noProof/>
                <w:webHidden/>
              </w:rPr>
              <w:instrText xml:space="preserve"> PAGEREF _Toc47888202 \h </w:instrText>
            </w:r>
            <w:r w:rsidR="007251E6">
              <w:rPr>
                <w:noProof/>
                <w:webHidden/>
              </w:rPr>
            </w:r>
            <w:r w:rsidR="007251E6">
              <w:rPr>
                <w:noProof/>
                <w:webHidden/>
              </w:rPr>
              <w:fldChar w:fldCharType="separate"/>
            </w:r>
            <w:r w:rsidR="007251E6">
              <w:rPr>
                <w:noProof/>
                <w:webHidden/>
              </w:rPr>
              <w:t>4</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03" w:history="1">
            <w:r w:rsidR="007251E6" w:rsidRPr="00B13AE6">
              <w:rPr>
                <w:rStyle w:val="Hyperlink"/>
                <w:noProof/>
              </w:rPr>
              <w:t>Table 1 Changes in reporting since the pre-event report</w:t>
            </w:r>
            <w:r w:rsidR="007251E6">
              <w:rPr>
                <w:noProof/>
                <w:webHidden/>
              </w:rPr>
              <w:tab/>
            </w:r>
            <w:r w:rsidR="007251E6">
              <w:rPr>
                <w:noProof/>
                <w:webHidden/>
              </w:rPr>
              <w:fldChar w:fldCharType="begin"/>
            </w:r>
            <w:r w:rsidR="007251E6">
              <w:rPr>
                <w:noProof/>
                <w:webHidden/>
              </w:rPr>
              <w:instrText xml:space="preserve"> PAGEREF _Toc47888203 \h </w:instrText>
            </w:r>
            <w:r w:rsidR="007251E6">
              <w:rPr>
                <w:noProof/>
                <w:webHidden/>
              </w:rPr>
            </w:r>
            <w:r w:rsidR="007251E6">
              <w:rPr>
                <w:noProof/>
                <w:webHidden/>
              </w:rPr>
              <w:fldChar w:fldCharType="separate"/>
            </w:r>
            <w:r w:rsidR="007251E6">
              <w:rPr>
                <w:noProof/>
                <w:webHidden/>
              </w:rPr>
              <w:t>4</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04" w:history="1">
            <w:r w:rsidR="007251E6" w:rsidRPr="00B13AE6">
              <w:rPr>
                <w:rStyle w:val="Hyperlink"/>
                <w:noProof/>
                <w:spacing w:val="-1"/>
              </w:rPr>
              <w:t>Emissions reduction strategy</w:t>
            </w:r>
            <w:r w:rsidR="007251E6">
              <w:rPr>
                <w:noProof/>
                <w:webHidden/>
              </w:rPr>
              <w:tab/>
            </w:r>
            <w:r w:rsidR="007251E6">
              <w:rPr>
                <w:noProof/>
                <w:webHidden/>
              </w:rPr>
              <w:fldChar w:fldCharType="begin"/>
            </w:r>
            <w:r w:rsidR="007251E6">
              <w:rPr>
                <w:noProof/>
                <w:webHidden/>
              </w:rPr>
              <w:instrText xml:space="preserve"> PAGEREF _Toc47888204 \h </w:instrText>
            </w:r>
            <w:r w:rsidR="007251E6">
              <w:rPr>
                <w:noProof/>
                <w:webHidden/>
              </w:rPr>
            </w:r>
            <w:r w:rsidR="007251E6">
              <w:rPr>
                <w:noProof/>
                <w:webHidden/>
              </w:rPr>
              <w:fldChar w:fldCharType="separate"/>
            </w:r>
            <w:r w:rsidR="007251E6">
              <w:rPr>
                <w:noProof/>
                <w:webHidden/>
              </w:rPr>
              <w:t>5</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05" w:history="1">
            <w:r w:rsidR="007251E6" w:rsidRPr="00B13AE6">
              <w:rPr>
                <w:rStyle w:val="Hyperlink"/>
                <w:noProof/>
              </w:rPr>
              <w:t>Table 2 Emissions reduction measures implemented in the current certification period</w:t>
            </w:r>
            <w:r w:rsidR="007251E6">
              <w:rPr>
                <w:noProof/>
                <w:webHidden/>
              </w:rPr>
              <w:tab/>
            </w:r>
            <w:r w:rsidR="007251E6">
              <w:rPr>
                <w:noProof/>
                <w:webHidden/>
              </w:rPr>
              <w:fldChar w:fldCharType="begin"/>
            </w:r>
            <w:r w:rsidR="007251E6">
              <w:rPr>
                <w:noProof/>
                <w:webHidden/>
              </w:rPr>
              <w:instrText xml:space="preserve"> PAGEREF _Toc47888205 \h </w:instrText>
            </w:r>
            <w:r w:rsidR="007251E6">
              <w:rPr>
                <w:noProof/>
                <w:webHidden/>
              </w:rPr>
            </w:r>
            <w:r w:rsidR="007251E6">
              <w:rPr>
                <w:noProof/>
                <w:webHidden/>
              </w:rPr>
              <w:fldChar w:fldCharType="separate"/>
            </w:r>
            <w:r w:rsidR="007251E6">
              <w:rPr>
                <w:noProof/>
                <w:webHidden/>
              </w:rPr>
              <w:t>5</w:t>
            </w:r>
            <w:r w:rsidR="007251E6">
              <w:rPr>
                <w:noProof/>
                <w:webHidden/>
              </w:rPr>
              <w:fldChar w:fldCharType="end"/>
            </w:r>
          </w:hyperlink>
        </w:p>
        <w:p w:rsidR="007251E6" w:rsidRDefault="007248AB">
          <w:pPr>
            <w:pStyle w:val="TOC1"/>
            <w:tabs>
              <w:tab w:val="right" w:leader="dot" w:pos="9628"/>
            </w:tabs>
            <w:rPr>
              <w:rFonts w:asciiTheme="minorHAnsi" w:eastAsiaTheme="minorEastAsia" w:hAnsiTheme="minorHAnsi" w:cstheme="minorBidi"/>
              <w:noProof/>
              <w:sz w:val="22"/>
              <w:szCs w:val="22"/>
              <w:lang w:eastAsia="en-AU"/>
            </w:rPr>
          </w:pPr>
          <w:hyperlink w:anchor="_Toc47888206" w:history="1">
            <w:r w:rsidR="007251E6" w:rsidRPr="00B13AE6">
              <w:rPr>
                <w:rStyle w:val="Hyperlink"/>
                <w:noProof/>
                <w:spacing w:val="-1"/>
              </w:rPr>
              <w:t>Emission Boundary</w:t>
            </w:r>
            <w:r w:rsidR="007251E6">
              <w:rPr>
                <w:noProof/>
                <w:webHidden/>
              </w:rPr>
              <w:tab/>
            </w:r>
            <w:r w:rsidR="007251E6">
              <w:rPr>
                <w:noProof/>
                <w:webHidden/>
              </w:rPr>
              <w:fldChar w:fldCharType="begin"/>
            </w:r>
            <w:r w:rsidR="007251E6">
              <w:rPr>
                <w:noProof/>
                <w:webHidden/>
              </w:rPr>
              <w:instrText xml:space="preserve"> PAGEREF _Toc47888206 \h </w:instrText>
            </w:r>
            <w:r w:rsidR="007251E6">
              <w:rPr>
                <w:noProof/>
                <w:webHidden/>
              </w:rPr>
            </w:r>
            <w:r w:rsidR="007251E6">
              <w:rPr>
                <w:noProof/>
                <w:webHidden/>
              </w:rPr>
              <w:fldChar w:fldCharType="separate"/>
            </w:r>
            <w:r w:rsidR="007251E6">
              <w:rPr>
                <w:noProof/>
                <w:webHidden/>
              </w:rPr>
              <w:t>7</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07" w:history="1">
            <w:r w:rsidR="007251E6" w:rsidRPr="00B13AE6">
              <w:rPr>
                <w:rStyle w:val="Hyperlink"/>
                <w:noProof/>
                <w:spacing w:val="-1"/>
              </w:rPr>
              <w:t>Diagram of the certification boundary</w:t>
            </w:r>
            <w:r w:rsidR="007251E6">
              <w:rPr>
                <w:noProof/>
                <w:webHidden/>
              </w:rPr>
              <w:tab/>
            </w:r>
            <w:r w:rsidR="007251E6">
              <w:rPr>
                <w:noProof/>
                <w:webHidden/>
              </w:rPr>
              <w:fldChar w:fldCharType="begin"/>
            </w:r>
            <w:r w:rsidR="007251E6">
              <w:rPr>
                <w:noProof/>
                <w:webHidden/>
              </w:rPr>
              <w:instrText xml:space="preserve"> PAGEREF _Toc47888207 \h </w:instrText>
            </w:r>
            <w:r w:rsidR="007251E6">
              <w:rPr>
                <w:noProof/>
                <w:webHidden/>
              </w:rPr>
            </w:r>
            <w:r w:rsidR="007251E6">
              <w:rPr>
                <w:noProof/>
                <w:webHidden/>
              </w:rPr>
              <w:fldChar w:fldCharType="separate"/>
            </w:r>
            <w:r w:rsidR="007251E6">
              <w:rPr>
                <w:noProof/>
                <w:webHidden/>
              </w:rPr>
              <w:t>7</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08" w:history="1">
            <w:r w:rsidR="007251E6" w:rsidRPr="00B13AE6">
              <w:rPr>
                <w:rStyle w:val="Hyperlink"/>
                <w:noProof/>
                <w:spacing w:val="-1"/>
              </w:rPr>
              <w:t>Excluded sources (outside of certification boundary)</w:t>
            </w:r>
            <w:r w:rsidR="007251E6">
              <w:rPr>
                <w:noProof/>
                <w:webHidden/>
              </w:rPr>
              <w:tab/>
            </w:r>
            <w:r w:rsidR="007251E6">
              <w:rPr>
                <w:noProof/>
                <w:webHidden/>
              </w:rPr>
              <w:fldChar w:fldCharType="begin"/>
            </w:r>
            <w:r w:rsidR="007251E6">
              <w:rPr>
                <w:noProof/>
                <w:webHidden/>
              </w:rPr>
              <w:instrText xml:space="preserve"> PAGEREF _Toc47888208 \h </w:instrText>
            </w:r>
            <w:r w:rsidR="007251E6">
              <w:rPr>
                <w:noProof/>
                <w:webHidden/>
              </w:rPr>
            </w:r>
            <w:r w:rsidR="007251E6">
              <w:rPr>
                <w:noProof/>
                <w:webHidden/>
              </w:rPr>
              <w:fldChar w:fldCharType="separate"/>
            </w:r>
            <w:r w:rsidR="007251E6">
              <w:rPr>
                <w:noProof/>
                <w:webHidden/>
              </w:rPr>
              <w:t>8</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09" w:history="1">
            <w:r w:rsidR="007251E6" w:rsidRPr="00B13AE6">
              <w:rPr>
                <w:rStyle w:val="Hyperlink"/>
                <w:noProof/>
              </w:rPr>
              <w:t>Is the emission source deemed one of high-risk to City of Melbourne?</w:t>
            </w:r>
            <w:r w:rsidR="007251E6">
              <w:rPr>
                <w:noProof/>
                <w:webHidden/>
              </w:rPr>
              <w:tab/>
            </w:r>
            <w:r w:rsidR="007251E6">
              <w:rPr>
                <w:noProof/>
                <w:webHidden/>
              </w:rPr>
              <w:fldChar w:fldCharType="begin"/>
            </w:r>
            <w:r w:rsidR="007251E6">
              <w:rPr>
                <w:noProof/>
                <w:webHidden/>
              </w:rPr>
              <w:instrText xml:space="preserve"> PAGEREF _Toc47888209 \h </w:instrText>
            </w:r>
            <w:r w:rsidR="007251E6">
              <w:rPr>
                <w:noProof/>
                <w:webHidden/>
              </w:rPr>
            </w:r>
            <w:r w:rsidR="007251E6">
              <w:rPr>
                <w:noProof/>
                <w:webHidden/>
              </w:rPr>
              <w:fldChar w:fldCharType="separate"/>
            </w:r>
            <w:r w:rsidR="007251E6">
              <w:rPr>
                <w:noProof/>
                <w:webHidden/>
              </w:rPr>
              <w:t>8</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10" w:history="1">
            <w:r w:rsidR="007251E6" w:rsidRPr="00B13AE6">
              <w:rPr>
                <w:rStyle w:val="Hyperlink"/>
                <w:noProof/>
              </w:rPr>
              <w:t>Is the emission source of particular value to the event stakeholders?</w:t>
            </w:r>
            <w:r w:rsidR="007251E6">
              <w:rPr>
                <w:noProof/>
                <w:webHidden/>
              </w:rPr>
              <w:tab/>
            </w:r>
            <w:r w:rsidR="007251E6">
              <w:rPr>
                <w:noProof/>
                <w:webHidden/>
              </w:rPr>
              <w:fldChar w:fldCharType="begin"/>
            </w:r>
            <w:r w:rsidR="007251E6">
              <w:rPr>
                <w:noProof/>
                <w:webHidden/>
              </w:rPr>
              <w:instrText xml:space="preserve"> PAGEREF _Toc47888210 \h </w:instrText>
            </w:r>
            <w:r w:rsidR="007251E6">
              <w:rPr>
                <w:noProof/>
                <w:webHidden/>
              </w:rPr>
            </w:r>
            <w:r w:rsidR="007251E6">
              <w:rPr>
                <w:noProof/>
                <w:webHidden/>
              </w:rPr>
              <w:fldChar w:fldCharType="separate"/>
            </w:r>
            <w:r w:rsidR="007251E6">
              <w:rPr>
                <w:noProof/>
                <w:webHidden/>
              </w:rPr>
              <w:t>8</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11" w:history="1">
            <w:r w:rsidR="007251E6" w:rsidRPr="00B13AE6">
              <w:rPr>
                <w:rStyle w:val="Hyperlink"/>
                <w:noProof/>
              </w:rPr>
              <w:t>Is the combined impact of the emission source significant in quantitative size?</w:t>
            </w:r>
            <w:r w:rsidR="007251E6">
              <w:rPr>
                <w:noProof/>
                <w:webHidden/>
              </w:rPr>
              <w:tab/>
            </w:r>
            <w:r w:rsidR="007251E6">
              <w:rPr>
                <w:noProof/>
                <w:webHidden/>
              </w:rPr>
              <w:fldChar w:fldCharType="begin"/>
            </w:r>
            <w:r w:rsidR="007251E6">
              <w:rPr>
                <w:noProof/>
                <w:webHidden/>
              </w:rPr>
              <w:instrText xml:space="preserve"> PAGEREF _Toc47888211 \h </w:instrText>
            </w:r>
            <w:r w:rsidR="007251E6">
              <w:rPr>
                <w:noProof/>
                <w:webHidden/>
              </w:rPr>
            </w:r>
            <w:r w:rsidR="007251E6">
              <w:rPr>
                <w:noProof/>
                <w:webHidden/>
              </w:rPr>
              <w:fldChar w:fldCharType="separate"/>
            </w:r>
            <w:r w:rsidR="007251E6">
              <w:rPr>
                <w:noProof/>
                <w:webHidden/>
              </w:rPr>
              <w:t>8</w:t>
            </w:r>
            <w:r w:rsidR="007251E6">
              <w:rPr>
                <w:noProof/>
                <w:webHidden/>
              </w:rPr>
              <w:fldChar w:fldCharType="end"/>
            </w:r>
          </w:hyperlink>
        </w:p>
        <w:p w:rsidR="007251E6" w:rsidRDefault="007248AB">
          <w:pPr>
            <w:pStyle w:val="TOC1"/>
            <w:tabs>
              <w:tab w:val="right" w:leader="dot" w:pos="9628"/>
            </w:tabs>
            <w:rPr>
              <w:rFonts w:asciiTheme="minorHAnsi" w:eastAsiaTheme="minorEastAsia" w:hAnsiTheme="minorHAnsi" w:cstheme="minorBidi"/>
              <w:noProof/>
              <w:sz w:val="22"/>
              <w:szCs w:val="22"/>
              <w:lang w:eastAsia="en-AU"/>
            </w:rPr>
          </w:pPr>
          <w:hyperlink w:anchor="_Toc47888212" w:history="1">
            <w:r w:rsidR="007251E6" w:rsidRPr="00B13AE6">
              <w:rPr>
                <w:rStyle w:val="Hyperlink"/>
                <w:noProof/>
              </w:rPr>
              <w:t>3. Emissions summary</w:t>
            </w:r>
            <w:r w:rsidR="007251E6">
              <w:rPr>
                <w:noProof/>
                <w:webHidden/>
              </w:rPr>
              <w:tab/>
            </w:r>
            <w:r w:rsidR="007251E6">
              <w:rPr>
                <w:noProof/>
                <w:webHidden/>
              </w:rPr>
              <w:fldChar w:fldCharType="begin"/>
            </w:r>
            <w:r w:rsidR="007251E6">
              <w:rPr>
                <w:noProof/>
                <w:webHidden/>
              </w:rPr>
              <w:instrText xml:space="preserve"> PAGEREF _Toc47888212 \h </w:instrText>
            </w:r>
            <w:r w:rsidR="007251E6">
              <w:rPr>
                <w:noProof/>
                <w:webHidden/>
              </w:rPr>
            </w:r>
            <w:r w:rsidR="007251E6">
              <w:rPr>
                <w:noProof/>
                <w:webHidden/>
              </w:rPr>
              <w:fldChar w:fldCharType="separate"/>
            </w:r>
            <w:r w:rsidR="007251E6">
              <w:rPr>
                <w:noProof/>
                <w:webHidden/>
              </w:rPr>
              <w:t>8</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13" w:history="1">
            <w:r w:rsidR="007251E6" w:rsidRPr="00B13AE6">
              <w:rPr>
                <w:rStyle w:val="Hyperlink"/>
                <w:noProof/>
              </w:rPr>
              <w:t>Table 3 Emissions Summary</w:t>
            </w:r>
            <w:r w:rsidR="007251E6">
              <w:rPr>
                <w:noProof/>
                <w:webHidden/>
              </w:rPr>
              <w:tab/>
            </w:r>
            <w:r w:rsidR="007251E6">
              <w:rPr>
                <w:noProof/>
                <w:webHidden/>
              </w:rPr>
              <w:fldChar w:fldCharType="begin"/>
            </w:r>
            <w:r w:rsidR="007251E6">
              <w:rPr>
                <w:noProof/>
                <w:webHidden/>
              </w:rPr>
              <w:instrText xml:space="preserve"> PAGEREF _Toc47888213 \h </w:instrText>
            </w:r>
            <w:r w:rsidR="007251E6">
              <w:rPr>
                <w:noProof/>
                <w:webHidden/>
              </w:rPr>
            </w:r>
            <w:r w:rsidR="007251E6">
              <w:rPr>
                <w:noProof/>
                <w:webHidden/>
              </w:rPr>
              <w:fldChar w:fldCharType="separate"/>
            </w:r>
            <w:r w:rsidR="007251E6">
              <w:rPr>
                <w:noProof/>
                <w:webHidden/>
              </w:rPr>
              <w:t>8</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14" w:history="1">
            <w:r w:rsidR="007251E6" w:rsidRPr="00B13AE6">
              <w:rPr>
                <w:rStyle w:val="Hyperlink"/>
                <w:noProof/>
                <w:spacing w:val="-1"/>
              </w:rPr>
              <w:t>True-up of emissions</w:t>
            </w:r>
            <w:r w:rsidR="007251E6">
              <w:rPr>
                <w:noProof/>
                <w:webHidden/>
              </w:rPr>
              <w:tab/>
            </w:r>
            <w:r w:rsidR="007251E6">
              <w:rPr>
                <w:noProof/>
                <w:webHidden/>
              </w:rPr>
              <w:fldChar w:fldCharType="begin"/>
            </w:r>
            <w:r w:rsidR="007251E6">
              <w:rPr>
                <w:noProof/>
                <w:webHidden/>
              </w:rPr>
              <w:instrText xml:space="preserve"> PAGEREF _Toc47888214 \h </w:instrText>
            </w:r>
            <w:r w:rsidR="007251E6">
              <w:rPr>
                <w:noProof/>
                <w:webHidden/>
              </w:rPr>
            </w:r>
            <w:r w:rsidR="007251E6">
              <w:rPr>
                <w:noProof/>
                <w:webHidden/>
              </w:rPr>
              <w:fldChar w:fldCharType="separate"/>
            </w:r>
            <w:r w:rsidR="007251E6">
              <w:rPr>
                <w:noProof/>
                <w:webHidden/>
              </w:rPr>
              <w:t>9</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15" w:history="1">
            <w:r w:rsidR="007251E6" w:rsidRPr="00B13AE6">
              <w:rPr>
                <w:rStyle w:val="Hyperlink"/>
                <w:noProof/>
              </w:rPr>
              <w:t>Table 4 True up of emissions</w:t>
            </w:r>
            <w:r w:rsidR="007251E6">
              <w:rPr>
                <w:noProof/>
                <w:webHidden/>
              </w:rPr>
              <w:tab/>
            </w:r>
            <w:r w:rsidR="007251E6">
              <w:rPr>
                <w:noProof/>
                <w:webHidden/>
              </w:rPr>
              <w:fldChar w:fldCharType="begin"/>
            </w:r>
            <w:r w:rsidR="007251E6">
              <w:rPr>
                <w:noProof/>
                <w:webHidden/>
              </w:rPr>
              <w:instrText xml:space="preserve"> PAGEREF _Toc47888215 \h </w:instrText>
            </w:r>
            <w:r w:rsidR="007251E6">
              <w:rPr>
                <w:noProof/>
                <w:webHidden/>
              </w:rPr>
            </w:r>
            <w:r w:rsidR="007251E6">
              <w:rPr>
                <w:noProof/>
                <w:webHidden/>
              </w:rPr>
              <w:fldChar w:fldCharType="separate"/>
            </w:r>
            <w:r w:rsidR="007251E6">
              <w:rPr>
                <w:noProof/>
                <w:webHidden/>
              </w:rPr>
              <w:t>9</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16" w:history="1">
            <w:r w:rsidR="007251E6" w:rsidRPr="00B13AE6">
              <w:rPr>
                <w:rStyle w:val="Hyperlink"/>
                <w:noProof/>
                <w:spacing w:val="-1"/>
              </w:rPr>
              <w:t>Carbon Neutral products</w:t>
            </w:r>
            <w:r w:rsidR="007251E6">
              <w:rPr>
                <w:noProof/>
                <w:webHidden/>
              </w:rPr>
              <w:tab/>
            </w:r>
            <w:r w:rsidR="007251E6">
              <w:rPr>
                <w:noProof/>
                <w:webHidden/>
              </w:rPr>
              <w:fldChar w:fldCharType="begin"/>
            </w:r>
            <w:r w:rsidR="007251E6">
              <w:rPr>
                <w:noProof/>
                <w:webHidden/>
              </w:rPr>
              <w:instrText xml:space="preserve"> PAGEREF _Toc47888216 \h </w:instrText>
            </w:r>
            <w:r w:rsidR="007251E6">
              <w:rPr>
                <w:noProof/>
                <w:webHidden/>
              </w:rPr>
            </w:r>
            <w:r w:rsidR="007251E6">
              <w:rPr>
                <w:noProof/>
                <w:webHidden/>
              </w:rPr>
              <w:fldChar w:fldCharType="separate"/>
            </w:r>
            <w:r w:rsidR="007251E6">
              <w:rPr>
                <w:noProof/>
                <w:webHidden/>
              </w:rPr>
              <w:t>10</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17" w:history="1">
            <w:r w:rsidR="007251E6" w:rsidRPr="00B13AE6">
              <w:rPr>
                <w:rStyle w:val="Hyperlink"/>
                <w:noProof/>
                <w:spacing w:val="-1"/>
              </w:rPr>
              <w:t>Electricity Summary</w:t>
            </w:r>
            <w:r w:rsidR="007251E6">
              <w:rPr>
                <w:noProof/>
                <w:webHidden/>
              </w:rPr>
              <w:tab/>
            </w:r>
            <w:r w:rsidR="007251E6">
              <w:rPr>
                <w:noProof/>
                <w:webHidden/>
              </w:rPr>
              <w:fldChar w:fldCharType="begin"/>
            </w:r>
            <w:r w:rsidR="007251E6">
              <w:rPr>
                <w:noProof/>
                <w:webHidden/>
              </w:rPr>
              <w:instrText xml:space="preserve"> PAGEREF _Toc47888217 \h </w:instrText>
            </w:r>
            <w:r w:rsidR="007251E6">
              <w:rPr>
                <w:noProof/>
                <w:webHidden/>
              </w:rPr>
            </w:r>
            <w:r w:rsidR="007251E6">
              <w:rPr>
                <w:noProof/>
                <w:webHidden/>
              </w:rPr>
              <w:fldChar w:fldCharType="separate"/>
            </w:r>
            <w:r w:rsidR="007251E6">
              <w:rPr>
                <w:noProof/>
                <w:webHidden/>
              </w:rPr>
              <w:t>10</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18" w:history="1">
            <w:r w:rsidR="007251E6" w:rsidRPr="00B13AE6">
              <w:rPr>
                <w:rStyle w:val="Hyperlink"/>
                <w:noProof/>
              </w:rPr>
              <w:t>Table 5 Location-based summary</w:t>
            </w:r>
            <w:r w:rsidR="007251E6">
              <w:rPr>
                <w:noProof/>
                <w:webHidden/>
              </w:rPr>
              <w:tab/>
            </w:r>
            <w:r w:rsidR="007251E6">
              <w:rPr>
                <w:noProof/>
                <w:webHidden/>
              </w:rPr>
              <w:fldChar w:fldCharType="begin"/>
            </w:r>
            <w:r w:rsidR="007251E6">
              <w:rPr>
                <w:noProof/>
                <w:webHidden/>
              </w:rPr>
              <w:instrText xml:space="preserve"> PAGEREF _Toc47888218 \h </w:instrText>
            </w:r>
            <w:r w:rsidR="007251E6">
              <w:rPr>
                <w:noProof/>
                <w:webHidden/>
              </w:rPr>
            </w:r>
            <w:r w:rsidR="007251E6">
              <w:rPr>
                <w:noProof/>
                <w:webHidden/>
              </w:rPr>
              <w:fldChar w:fldCharType="separate"/>
            </w:r>
            <w:r w:rsidR="007251E6">
              <w:rPr>
                <w:noProof/>
                <w:webHidden/>
              </w:rPr>
              <w:t>10</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19" w:history="1">
            <w:r w:rsidR="007251E6" w:rsidRPr="00B13AE6">
              <w:rPr>
                <w:rStyle w:val="Hyperlink"/>
                <w:noProof/>
                <w:spacing w:val="-1"/>
              </w:rPr>
              <w:t>Data collection of significant emissions</w:t>
            </w:r>
            <w:r w:rsidR="007251E6">
              <w:rPr>
                <w:noProof/>
                <w:webHidden/>
              </w:rPr>
              <w:tab/>
            </w:r>
            <w:r w:rsidR="007251E6">
              <w:rPr>
                <w:noProof/>
                <w:webHidden/>
              </w:rPr>
              <w:fldChar w:fldCharType="begin"/>
            </w:r>
            <w:r w:rsidR="007251E6">
              <w:rPr>
                <w:noProof/>
                <w:webHidden/>
              </w:rPr>
              <w:instrText xml:space="preserve"> PAGEREF _Toc47888219 \h </w:instrText>
            </w:r>
            <w:r w:rsidR="007251E6">
              <w:rPr>
                <w:noProof/>
                <w:webHidden/>
              </w:rPr>
            </w:r>
            <w:r w:rsidR="007251E6">
              <w:rPr>
                <w:noProof/>
                <w:webHidden/>
              </w:rPr>
              <w:fldChar w:fldCharType="separate"/>
            </w:r>
            <w:r w:rsidR="007251E6">
              <w:rPr>
                <w:noProof/>
                <w:webHidden/>
              </w:rPr>
              <w:t>11</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20" w:history="1">
            <w:r w:rsidR="007251E6" w:rsidRPr="00B13AE6">
              <w:rPr>
                <w:rStyle w:val="Hyperlink"/>
                <w:noProof/>
              </w:rPr>
              <w:t>Table 6 Data collection of significant emissions</w:t>
            </w:r>
            <w:r w:rsidR="007251E6">
              <w:rPr>
                <w:noProof/>
                <w:webHidden/>
              </w:rPr>
              <w:tab/>
            </w:r>
            <w:r w:rsidR="007251E6">
              <w:rPr>
                <w:noProof/>
                <w:webHidden/>
              </w:rPr>
              <w:fldChar w:fldCharType="begin"/>
            </w:r>
            <w:r w:rsidR="007251E6">
              <w:rPr>
                <w:noProof/>
                <w:webHidden/>
              </w:rPr>
              <w:instrText xml:space="preserve"> PAGEREF _Toc47888220 \h </w:instrText>
            </w:r>
            <w:r w:rsidR="007251E6">
              <w:rPr>
                <w:noProof/>
                <w:webHidden/>
              </w:rPr>
            </w:r>
            <w:r w:rsidR="007251E6">
              <w:rPr>
                <w:noProof/>
                <w:webHidden/>
              </w:rPr>
              <w:fldChar w:fldCharType="separate"/>
            </w:r>
            <w:r w:rsidR="007251E6">
              <w:rPr>
                <w:noProof/>
                <w:webHidden/>
              </w:rPr>
              <w:t>11</w:t>
            </w:r>
            <w:r w:rsidR="007251E6">
              <w:rPr>
                <w:noProof/>
                <w:webHidden/>
              </w:rPr>
              <w:fldChar w:fldCharType="end"/>
            </w:r>
          </w:hyperlink>
        </w:p>
        <w:p w:rsidR="007251E6" w:rsidRDefault="007248AB">
          <w:pPr>
            <w:pStyle w:val="TOC1"/>
            <w:tabs>
              <w:tab w:val="right" w:leader="dot" w:pos="9628"/>
            </w:tabs>
            <w:rPr>
              <w:rFonts w:asciiTheme="minorHAnsi" w:eastAsiaTheme="minorEastAsia" w:hAnsiTheme="minorHAnsi" w:cstheme="minorBidi"/>
              <w:noProof/>
              <w:sz w:val="22"/>
              <w:szCs w:val="22"/>
              <w:lang w:eastAsia="en-AU"/>
            </w:rPr>
          </w:pPr>
          <w:hyperlink w:anchor="_Toc47888221" w:history="1">
            <w:r w:rsidR="007251E6" w:rsidRPr="00B13AE6">
              <w:rPr>
                <w:rStyle w:val="Hyperlink"/>
                <w:noProof/>
                <w:spacing w:val="-1"/>
              </w:rPr>
              <w:t>4. Carbon offsets</w:t>
            </w:r>
            <w:r w:rsidR="007251E6">
              <w:rPr>
                <w:noProof/>
                <w:webHidden/>
              </w:rPr>
              <w:tab/>
            </w:r>
            <w:r w:rsidR="007251E6">
              <w:rPr>
                <w:noProof/>
                <w:webHidden/>
              </w:rPr>
              <w:fldChar w:fldCharType="begin"/>
            </w:r>
            <w:r w:rsidR="007251E6">
              <w:rPr>
                <w:noProof/>
                <w:webHidden/>
              </w:rPr>
              <w:instrText xml:space="preserve"> PAGEREF _Toc47888221 \h </w:instrText>
            </w:r>
            <w:r w:rsidR="007251E6">
              <w:rPr>
                <w:noProof/>
                <w:webHidden/>
              </w:rPr>
            </w:r>
            <w:r w:rsidR="007251E6">
              <w:rPr>
                <w:noProof/>
                <w:webHidden/>
              </w:rPr>
              <w:fldChar w:fldCharType="separate"/>
            </w:r>
            <w:r w:rsidR="007251E6">
              <w:rPr>
                <w:noProof/>
                <w:webHidden/>
              </w:rPr>
              <w:t>13</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22" w:history="1">
            <w:r w:rsidR="007251E6" w:rsidRPr="00B13AE6">
              <w:rPr>
                <w:rStyle w:val="Hyperlink"/>
                <w:noProof/>
                <w:spacing w:val="-1"/>
              </w:rPr>
              <w:t>Offset purchasing strategy</w:t>
            </w:r>
            <w:r w:rsidR="007251E6">
              <w:rPr>
                <w:noProof/>
                <w:webHidden/>
              </w:rPr>
              <w:tab/>
            </w:r>
            <w:r w:rsidR="007251E6">
              <w:rPr>
                <w:noProof/>
                <w:webHidden/>
              </w:rPr>
              <w:fldChar w:fldCharType="begin"/>
            </w:r>
            <w:r w:rsidR="007251E6">
              <w:rPr>
                <w:noProof/>
                <w:webHidden/>
              </w:rPr>
              <w:instrText xml:space="preserve"> PAGEREF _Toc47888222 \h </w:instrText>
            </w:r>
            <w:r w:rsidR="007251E6">
              <w:rPr>
                <w:noProof/>
                <w:webHidden/>
              </w:rPr>
            </w:r>
            <w:r w:rsidR="007251E6">
              <w:rPr>
                <w:noProof/>
                <w:webHidden/>
              </w:rPr>
              <w:fldChar w:fldCharType="separate"/>
            </w:r>
            <w:r w:rsidR="007251E6">
              <w:rPr>
                <w:noProof/>
                <w:webHidden/>
              </w:rPr>
              <w:t>13</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23" w:history="1">
            <w:r w:rsidR="007251E6" w:rsidRPr="00B13AE6">
              <w:rPr>
                <w:rStyle w:val="Hyperlink"/>
                <w:noProof/>
              </w:rPr>
              <w:t>Table 7 Forward purchasing summary</w:t>
            </w:r>
            <w:r w:rsidR="007251E6">
              <w:rPr>
                <w:noProof/>
                <w:webHidden/>
              </w:rPr>
              <w:tab/>
            </w:r>
            <w:r w:rsidR="007251E6">
              <w:rPr>
                <w:noProof/>
                <w:webHidden/>
              </w:rPr>
              <w:fldChar w:fldCharType="begin"/>
            </w:r>
            <w:r w:rsidR="007251E6">
              <w:rPr>
                <w:noProof/>
                <w:webHidden/>
              </w:rPr>
              <w:instrText xml:space="preserve"> PAGEREF _Toc47888223 \h </w:instrText>
            </w:r>
            <w:r w:rsidR="007251E6">
              <w:rPr>
                <w:noProof/>
                <w:webHidden/>
              </w:rPr>
            </w:r>
            <w:r w:rsidR="007251E6">
              <w:rPr>
                <w:noProof/>
                <w:webHidden/>
              </w:rPr>
              <w:fldChar w:fldCharType="separate"/>
            </w:r>
            <w:r w:rsidR="007251E6">
              <w:rPr>
                <w:noProof/>
                <w:webHidden/>
              </w:rPr>
              <w:t>13</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24" w:history="1">
            <w:r w:rsidR="007251E6" w:rsidRPr="00B13AE6">
              <w:rPr>
                <w:rStyle w:val="Hyperlink"/>
                <w:noProof/>
              </w:rPr>
              <w:t>Table 8 Offset Summary</w:t>
            </w:r>
            <w:r w:rsidR="007251E6">
              <w:rPr>
                <w:noProof/>
                <w:webHidden/>
              </w:rPr>
              <w:tab/>
            </w:r>
            <w:r w:rsidR="007251E6">
              <w:rPr>
                <w:noProof/>
                <w:webHidden/>
              </w:rPr>
              <w:fldChar w:fldCharType="begin"/>
            </w:r>
            <w:r w:rsidR="007251E6">
              <w:rPr>
                <w:noProof/>
                <w:webHidden/>
              </w:rPr>
              <w:instrText xml:space="preserve"> PAGEREF _Toc47888224 \h </w:instrText>
            </w:r>
            <w:r w:rsidR="007251E6">
              <w:rPr>
                <w:noProof/>
                <w:webHidden/>
              </w:rPr>
            </w:r>
            <w:r w:rsidR="007251E6">
              <w:rPr>
                <w:noProof/>
                <w:webHidden/>
              </w:rPr>
              <w:fldChar w:fldCharType="separate"/>
            </w:r>
            <w:r w:rsidR="007251E6">
              <w:rPr>
                <w:noProof/>
                <w:webHidden/>
              </w:rPr>
              <w:t>14</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25" w:history="1">
            <w:r w:rsidR="007251E6" w:rsidRPr="00B13AE6">
              <w:rPr>
                <w:rStyle w:val="Hyperlink"/>
                <w:noProof/>
                <w:spacing w:val="-1"/>
              </w:rPr>
              <w:t>Co-benefits</w:t>
            </w:r>
            <w:r w:rsidR="007251E6">
              <w:rPr>
                <w:noProof/>
                <w:webHidden/>
              </w:rPr>
              <w:tab/>
            </w:r>
            <w:r w:rsidR="007251E6">
              <w:rPr>
                <w:noProof/>
                <w:webHidden/>
              </w:rPr>
              <w:fldChar w:fldCharType="begin"/>
            </w:r>
            <w:r w:rsidR="007251E6">
              <w:rPr>
                <w:noProof/>
                <w:webHidden/>
              </w:rPr>
              <w:instrText xml:space="preserve"> PAGEREF _Toc47888225 \h </w:instrText>
            </w:r>
            <w:r w:rsidR="007251E6">
              <w:rPr>
                <w:noProof/>
                <w:webHidden/>
              </w:rPr>
            </w:r>
            <w:r w:rsidR="007251E6">
              <w:rPr>
                <w:noProof/>
                <w:webHidden/>
              </w:rPr>
              <w:fldChar w:fldCharType="separate"/>
            </w:r>
            <w:r w:rsidR="007251E6">
              <w:rPr>
                <w:noProof/>
                <w:webHidden/>
              </w:rPr>
              <w:t>16</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26" w:history="1">
            <w:r w:rsidR="007251E6" w:rsidRPr="00B13AE6">
              <w:rPr>
                <w:rStyle w:val="Hyperlink"/>
                <w:noProof/>
              </w:rPr>
              <w:t>Savannah burning - Australia</w:t>
            </w:r>
            <w:r w:rsidR="007251E6">
              <w:rPr>
                <w:noProof/>
                <w:webHidden/>
              </w:rPr>
              <w:tab/>
            </w:r>
            <w:r w:rsidR="007251E6">
              <w:rPr>
                <w:noProof/>
                <w:webHidden/>
              </w:rPr>
              <w:fldChar w:fldCharType="begin"/>
            </w:r>
            <w:r w:rsidR="007251E6">
              <w:rPr>
                <w:noProof/>
                <w:webHidden/>
              </w:rPr>
              <w:instrText xml:space="preserve"> PAGEREF _Toc47888226 \h </w:instrText>
            </w:r>
            <w:r w:rsidR="007251E6">
              <w:rPr>
                <w:noProof/>
                <w:webHidden/>
              </w:rPr>
            </w:r>
            <w:r w:rsidR="007251E6">
              <w:rPr>
                <w:noProof/>
                <w:webHidden/>
              </w:rPr>
              <w:fldChar w:fldCharType="separate"/>
            </w:r>
            <w:r w:rsidR="007251E6">
              <w:rPr>
                <w:noProof/>
                <w:webHidden/>
              </w:rPr>
              <w:t>16</w:t>
            </w:r>
            <w:r w:rsidR="007251E6">
              <w:rPr>
                <w:noProof/>
                <w:webHidden/>
              </w:rPr>
              <w:fldChar w:fldCharType="end"/>
            </w:r>
          </w:hyperlink>
        </w:p>
        <w:p w:rsidR="007251E6" w:rsidRDefault="007248AB">
          <w:pPr>
            <w:pStyle w:val="TOC1"/>
            <w:tabs>
              <w:tab w:val="right" w:leader="dot" w:pos="9628"/>
            </w:tabs>
            <w:rPr>
              <w:rFonts w:asciiTheme="minorHAnsi" w:eastAsiaTheme="minorEastAsia" w:hAnsiTheme="minorHAnsi" w:cstheme="minorBidi"/>
              <w:noProof/>
              <w:sz w:val="22"/>
              <w:szCs w:val="22"/>
              <w:lang w:eastAsia="en-AU"/>
            </w:rPr>
          </w:pPr>
          <w:hyperlink w:anchor="_Toc47888227" w:history="1">
            <w:r w:rsidR="007251E6" w:rsidRPr="00B13AE6">
              <w:rPr>
                <w:rStyle w:val="Hyperlink"/>
                <w:noProof/>
                <w:spacing w:val="-1"/>
              </w:rPr>
              <w:t>5. Use of trade mark</w:t>
            </w:r>
            <w:r w:rsidR="007251E6">
              <w:rPr>
                <w:noProof/>
                <w:webHidden/>
              </w:rPr>
              <w:tab/>
            </w:r>
            <w:r w:rsidR="007251E6">
              <w:rPr>
                <w:noProof/>
                <w:webHidden/>
              </w:rPr>
              <w:fldChar w:fldCharType="begin"/>
            </w:r>
            <w:r w:rsidR="007251E6">
              <w:rPr>
                <w:noProof/>
                <w:webHidden/>
              </w:rPr>
              <w:instrText xml:space="preserve"> PAGEREF _Toc47888227 \h </w:instrText>
            </w:r>
            <w:r w:rsidR="007251E6">
              <w:rPr>
                <w:noProof/>
                <w:webHidden/>
              </w:rPr>
            </w:r>
            <w:r w:rsidR="007251E6">
              <w:rPr>
                <w:noProof/>
                <w:webHidden/>
              </w:rPr>
              <w:fldChar w:fldCharType="separate"/>
            </w:r>
            <w:r w:rsidR="007251E6">
              <w:rPr>
                <w:noProof/>
                <w:webHidden/>
              </w:rPr>
              <w:t>16</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28" w:history="1">
            <w:r w:rsidR="007251E6" w:rsidRPr="00B13AE6">
              <w:rPr>
                <w:rStyle w:val="Hyperlink"/>
                <w:noProof/>
              </w:rPr>
              <w:t>Table 9 Use of trade mark</w:t>
            </w:r>
            <w:r w:rsidR="007251E6">
              <w:rPr>
                <w:noProof/>
                <w:webHidden/>
              </w:rPr>
              <w:tab/>
            </w:r>
            <w:r w:rsidR="007251E6">
              <w:rPr>
                <w:noProof/>
                <w:webHidden/>
              </w:rPr>
              <w:fldChar w:fldCharType="begin"/>
            </w:r>
            <w:r w:rsidR="007251E6">
              <w:rPr>
                <w:noProof/>
                <w:webHidden/>
              </w:rPr>
              <w:instrText xml:space="preserve"> PAGEREF _Toc47888228 \h </w:instrText>
            </w:r>
            <w:r w:rsidR="007251E6">
              <w:rPr>
                <w:noProof/>
                <w:webHidden/>
              </w:rPr>
            </w:r>
            <w:r w:rsidR="007251E6">
              <w:rPr>
                <w:noProof/>
                <w:webHidden/>
              </w:rPr>
              <w:fldChar w:fldCharType="separate"/>
            </w:r>
            <w:r w:rsidR="007251E6">
              <w:rPr>
                <w:noProof/>
                <w:webHidden/>
              </w:rPr>
              <w:t>16</w:t>
            </w:r>
            <w:r w:rsidR="007251E6">
              <w:rPr>
                <w:noProof/>
                <w:webHidden/>
              </w:rPr>
              <w:fldChar w:fldCharType="end"/>
            </w:r>
          </w:hyperlink>
        </w:p>
        <w:p w:rsidR="007251E6" w:rsidRDefault="007248AB">
          <w:pPr>
            <w:pStyle w:val="TOC1"/>
            <w:tabs>
              <w:tab w:val="right" w:leader="dot" w:pos="9628"/>
            </w:tabs>
            <w:rPr>
              <w:rFonts w:asciiTheme="minorHAnsi" w:eastAsiaTheme="minorEastAsia" w:hAnsiTheme="minorHAnsi" w:cstheme="minorBidi"/>
              <w:noProof/>
              <w:sz w:val="22"/>
              <w:szCs w:val="22"/>
              <w:lang w:eastAsia="en-AU"/>
            </w:rPr>
          </w:pPr>
          <w:hyperlink w:anchor="_Toc47888229" w:history="1">
            <w:r w:rsidR="007251E6" w:rsidRPr="00B13AE6">
              <w:rPr>
                <w:rStyle w:val="Hyperlink"/>
                <w:noProof/>
                <w:spacing w:val="-1"/>
              </w:rPr>
              <w:t>6. Additional information</w:t>
            </w:r>
            <w:r w:rsidR="007251E6">
              <w:rPr>
                <w:noProof/>
                <w:webHidden/>
              </w:rPr>
              <w:tab/>
            </w:r>
            <w:r w:rsidR="007251E6">
              <w:rPr>
                <w:noProof/>
                <w:webHidden/>
              </w:rPr>
              <w:fldChar w:fldCharType="begin"/>
            </w:r>
            <w:r w:rsidR="007251E6">
              <w:rPr>
                <w:noProof/>
                <w:webHidden/>
              </w:rPr>
              <w:instrText xml:space="preserve"> PAGEREF _Toc47888229 \h </w:instrText>
            </w:r>
            <w:r w:rsidR="007251E6">
              <w:rPr>
                <w:noProof/>
                <w:webHidden/>
              </w:rPr>
            </w:r>
            <w:r w:rsidR="007251E6">
              <w:rPr>
                <w:noProof/>
                <w:webHidden/>
              </w:rPr>
              <w:fldChar w:fldCharType="separate"/>
            </w:r>
            <w:r w:rsidR="007251E6">
              <w:rPr>
                <w:noProof/>
                <w:webHidden/>
              </w:rPr>
              <w:t>16</w:t>
            </w:r>
            <w:r w:rsidR="007251E6">
              <w:rPr>
                <w:noProof/>
                <w:webHidden/>
              </w:rPr>
              <w:fldChar w:fldCharType="end"/>
            </w:r>
          </w:hyperlink>
        </w:p>
        <w:p w:rsidR="007251E6" w:rsidRDefault="007248AB">
          <w:pPr>
            <w:pStyle w:val="TOC2"/>
            <w:rPr>
              <w:rFonts w:asciiTheme="minorHAnsi" w:eastAsiaTheme="minorEastAsia" w:hAnsiTheme="minorHAnsi" w:cstheme="minorBidi"/>
              <w:noProof/>
              <w:sz w:val="22"/>
              <w:szCs w:val="22"/>
              <w:lang w:eastAsia="en-AU"/>
            </w:rPr>
          </w:pPr>
          <w:hyperlink w:anchor="_Toc47888230" w:history="1">
            <w:r w:rsidR="007251E6" w:rsidRPr="00B13AE6">
              <w:rPr>
                <w:rStyle w:val="Hyperlink"/>
                <w:noProof/>
              </w:rPr>
              <w:t>Appendix 1 - Excluded emissions</w:t>
            </w:r>
            <w:r w:rsidR="007251E6">
              <w:rPr>
                <w:noProof/>
                <w:webHidden/>
              </w:rPr>
              <w:tab/>
            </w:r>
            <w:r w:rsidR="007251E6">
              <w:rPr>
                <w:noProof/>
                <w:webHidden/>
              </w:rPr>
              <w:fldChar w:fldCharType="begin"/>
            </w:r>
            <w:r w:rsidR="007251E6">
              <w:rPr>
                <w:noProof/>
                <w:webHidden/>
              </w:rPr>
              <w:instrText xml:space="preserve"> PAGEREF _Toc47888230 \h </w:instrText>
            </w:r>
            <w:r w:rsidR="007251E6">
              <w:rPr>
                <w:noProof/>
                <w:webHidden/>
              </w:rPr>
            </w:r>
            <w:r w:rsidR="007251E6">
              <w:rPr>
                <w:noProof/>
                <w:webHidden/>
              </w:rPr>
              <w:fldChar w:fldCharType="separate"/>
            </w:r>
            <w:r w:rsidR="007251E6">
              <w:rPr>
                <w:noProof/>
                <w:webHidden/>
              </w:rPr>
              <w:t>16</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31" w:history="1">
            <w:r w:rsidR="007251E6" w:rsidRPr="00B13AE6">
              <w:rPr>
                <w:rStyle w:val="Hyperlink"/>
                <w:noProof/>
              </w:rPr>
              <w:t>Relevance Test</w:t>
            </w:r>
            <w:r w:rsidR="007251E6">
              <w:rPr>
                <w:noProof/>
                <w:webHidden/>
              </w:rPr>
              <w:tab/>
            </w:r>
            <w:r w:rsidR="007251E6">
              <w:rPr>
                <w:noProof/>
                <w:webHidden/>
              </w:rPr>
              <w:fldChar w:fldCharType="begin"/>
            </w:r>
            <w:r w:rsidR="007251E6">
              <w:rPr>
                <w:noProof/>
                <w:webHidden/>
              </w:rPr>
              <w:instrText xml:space="preserve"> PAGEREF _Toc47888231 \h </w:instrText>
            </w:r>
            <w:r w:rsidR="007251E6">
              <w:rPr>
                <w:noProof/>
                <w:webHidden/>
              </w:rPr>
            </w:r>
            <w:r w:rsidR="007251E6">
              <w:rPr>
                <w:noProof/>
                <w:webHidden/>
              </w:rPr>
              <w:fldChar w:fldCharType="separate"/>
            </w:r>
            <w:r w:rsidR="007251E6">
              <w:rPr>
                <w:noProof/>
                <w:webHidden/>
              </w:rPr>
              <w:t>17</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32" w:history="1">
            <w:r w:rsidR="007251E6" w:rsidRPr="00B13AE6">
              <w:rPr>
                <w:rStyle w:val="Hyperlink"/>
                <w:noProof/>
              </w:rPr>
              <w:t>Appendix 2 – ACCUs surrendered for Large Event Portfolio – pre-event</w:t>
            </w:r>
            <w:r w:rsidR="007251E6">
              <w:rPr>
                <w:noProof/>
                <w:webHidden/>
              </w:rPr>
              <w:tab/>
            </w:r>
            <w:r w:rsidR="007251E6">
              <w:rPr>
                <w:noProof/>
                <w:webHidden/>
              </w:rPr>
              <w:fldChar w:fldCharType="begin"/>
            </w:r>
            <w:r w:rsidR="007251E6">
              <w:rPr>
                <w:noProof/>
                <w:webHidden/>
              </w:rPr>
              <w:instrText xml:space="preserve"> PAGEREF _Toc47888232 \h </w:instrText>
            </w:r>
            <w:r w:rsidR="007251E6">
              <w:rPr>
                <w:noProof/>
                <w:webHidden/>
              </w:rPr>
            </w:r>
            <w:r w:rsidR="007251E6">
              <w:rPr>
                <w:noProof/>
                <w:webHidden/>
              </w:rPr>
              <w:fldChar w:fldCharType="separate"/>
            </w:r>
            <w:r w:rsidR="007251E6">
              <w:rPr>
                <w:noProof/>
                <w:webHidden/>
              </w:rPr>
              <w:t>18</w:t>
            </w:r>
            <w:r w:rsidR="007251E6">
              <w:rPr>
                <w:noProof/>
                <w:webHidden/>
              </w:rPr>
              <w:fldChar w:fldCharType="end"/>
            </w:r>
          </w:hyperlink>
        </w:p>
        <w:p w:rsidR="007251E6" w:rsidRDefault="007248AB">
          <w:pPr>
            <w:pStyle w:val="TOC3"/>
            <w:rPr>
              <w:rFonts w:asciiTheme="minorHAnsi" w:eastAsiaTheme="minorEastAsia" w:hAnsiTheme="minorHAnsi" w:cstheme="minorBidi"/>
              <w:noProof/>
              <w:sz w:val="22"/>
              <w:szCs w:val="22"/>
              <w:lang w:eastAsia="en-AU"/>
            </w:rPr>
          </w:pPr>
          <w:hyperlink w:anchor="_Toc47888233" w:history="1">
            <w:r w:rsidR="007251E6" w:rsidRPr="00B13AE6">
              <w:rPr>
                <w:rStyle w:val="Hyperlink"/>
                <w:noProof/>
              </w:rPr>
              <w:t>Appendix 3 – VCUs Surrendered for Large Event Portfolio – pre-event</w:t>
            </w:r>
            <w:r w:rsidR="007251E6">
              <w:rPr>
                <w:noProof/>
                <w:webHidden/>
              </w:rPr>
              <w:tab/>
            </w:r>
            <w:r w:rsidR="007251E6">
              <w:rPr>
                <w:noProof/>
                <w:webHidden/>
              </w:rPr>
              <w:fldChar w:fldCharType="begin"/>
            </w:r>
            <w:r w:rsidR="007251E6">
              <w:rPr>
                <w:noProof/>
                <w:webHidden/>
              </w:rPr>
              <w:instrText xml:space="preserve"> PAGEREF _Toc47888233 \h </w:instrText>
            </w:r>
            <w:r w:rsidR="007251E6">
              <w:rPr>
                <w:noProof/>
                <w:webHidden/>
              </w:rPr>
            </w:r>
            <w:r w:rsidR="007251E6">
              <w:rPr>
                <w:noProof/>
                <w:webHidden/>
              </w:rPr>
              <w:fldChar w:fldCharType="separate"/>
            </w:r>
            <w:r w:rsidR="007251E6">
              <w:rPr>
                <w:noProof/>
                <w:webHidden/>
              </w:rPr>
              <w:t>18</w:t>
            </w:r>
            <w:r w:rsidR="007251E6">
              <w:rPr>
                <w:noProof/>
                <w:webHidden/>
              </w:rPr>
              <w:fldChar w:fldCharType="end"/>
            </w:r>
          </w:hyperlink>
        </w:p>
        <w:p w:rsidR="00667809" w:rsidRDefault="00667809" w:rsidP="00667809">
          <w:r>
            <w:rPr>
              <w:b/>
              <w:bCs/>
              <w:noProof/>
            </w:rPr>
            <w:fldChar w:fldCharType="end"/>
          </w:r>
        </w:p>
      </w:sdtContent>
    </w:sdt>
    <w:p w:rsidR="00667809" w:rsidRPr="00A0432B" w:rsidRDefault="00667809" w:rsidP="00667809">
      <w:r w:rsidRPr="00A0432B">
        <w:br w:type="page"/>
      </w:r>
    </w:p>
    <w:p w:rsidR="00667809" w:rsidRPr="00955490" w:rsidRDefault="00667809" w:rsidP="00667809">
      <w:pPr>
        <w:pStyle w:val="Heading1"/>
        <w:rPr>
          <w:rFonts w:eastAsia="Cambria" w:cs="Cambria"/>
          <w:szCs w:val="28"/>
        </w:rPr>
      </w:pPr>
      <w:bookmarkStart w:id="1" w:name="Guidance_-_Public_Disclosure_Summary_v5."/>
      <w:bookmarkStart w:id="2" w:name="Declaration"/>
      <w:bookmarkStart w:id="3" w:name="1._Carbon_neutral_information"/>
      <w:bookmarkStart w:id="4" w:name="_Toc47888200"/>
      <w:bookmarkEnd w:id="1"/>
      <w:bookmarkEnd w:id="2"/>
      <w:bookmarkEnd w:id="3"/>
      <w:r w:rsidRPr="00955490">
        <w:rPr>
          <w:spacing w:val="-1"/>
          <w:szCs w:val="28"/>
        </w:rPr>
        <w:t>Carbon</w:t>
      </w:r>
      <w:r w:rsidRPr="00955490">
        <w:rPr>
          <w:spacing w:val="-11"/>
          <w:szCs w:val="28"/>
        </w:rPr>
        <w:t xml:space="preserve"> </w:t>
      </w:r>
      <w:r w:rsidRPr="00955490">
        <w:rPr>
          <w:spacing w:val="-1"/>
          <w:szCs w:val="28"/>
        </w:rPr>
        <w:t>neutral</w:t>
      </w:r>
      <w:r w:rsidRPr="00955490">
        <w:rPr>
          <w:spacing w:val="-11"/>
          <w:szCs w:val="28"/>
        </w:rPr>
        <w:t xml:space="preserve"> </w:t>
      </w:r>
      <w:r w:rsidRPr="00955490">
        <w:rPr>
          <w:spacing w:val="-1"/>
          <w:szCs w:val="28"/>
        </w:rPr>
        <w:t>information</w:t>
      </w:r>
      <w:bookmarkEnd w:id="4"/>
    </w:p>
    <w:p w:rsidR="00667809" w:rsidRPr="00E96298" w:rsidRDefault="00667809" w:rsidP="00667809">
      <w:pPr>
        <w:pStyle w:val="Heading2"/>
        <w:rPr>
          <w:rFonts w:eastAsia="Calibri" w:cs="Calibri"/>
        </w:rPr>
      </w:pPr>
      <w:bookmarkStart w:id="5" w:name="_Toc47888201"/>
      <w:r w:rsidRPr="00E96298">
        <w:rPr>
          <w:spacing w:val="-1"/>
        </w:rPr>
        <w:t>Description of certification</w:t>
      </w:r>
      <w:bookmarkEnd w:id="5"/>
    </w:p>
    <w:p w:rsidR="00296DC3" w:rsidRPr="00904902" w:rsidRDefault="00296DC3" w:rsidP="00296DC3">
      <w:pPr>
        <w:widowControl w:val="0"/>
        <w:tabs>
          <w:tab w:val="left" w:pos="822"/>
        </w:tabs>
        <w:spacing w:after="0"/>
        <w:ind w:right="-1"/>
      </w:pPr>
      <w:r w:rsidRPr="00904902">
        <w:t xml:space="preserve">Melbourne </w:t>
      </w:r>
      <w:r>
        <w:t>Music</w:t>
      </w:r>
      <w:r w:rsidRPr="00904902">
        <w:t xml:space="preserve"> Week </w:t>
      </w:r>
      <w:r>
        <w:t xml:space="preserve">is a ten day celebration and showcase of live music in the City of Melbourne. It is made up of a number of in-house and independently produced shows across a variety of small and large venues in the city. In 2019 Melbourne Music Week </w:t>
      </w:r>
      <w:r w:rsidRPr="00904902">
        <w:t xml:space="preserve">ran from </w:t>
      </w:r>
      <w:r>
        <w:t>November</w:t>
      </w:r>
      <w:r w:rsidRPr="00904902">
        <w:t xml:space="preserve"> </w:t>
      </w:r>
      <w:r>
        <w:t>14-23</w:t>
      </w:r>
      <w:r w:rsidRPr="00904902">
        <w:t xml:space="preserve"> and was certified carbon neutral by Climate Active as part of the City of Melbourne’s large carbon neutral events portfolio.</w:t>
      </w:r>
    </w:p>
    <w:p w:rsidR="00296DC3" w:rsidRPr="00904902" w:rsidRDefault="00296DC3" w:rsidP="00296DC3">
      <w:pPr>
        <w:widowControl w:val="0"/>
        <w:tabs>
          <w:tab w:val="left" w:pos="822"/>
        </w:tabs>
        <w:spacing w:after="0"/>
        <w:ind w:right="-1"/>
      </w:pPr>
      <w:r w:rsidRPr="00904902">
        <w:t>As a certified carbon neutral organisation, the City of Melb</w:t>
      </w:r>
      <w:r>
        <w:t>ourne manages an active emissions r</w:t>
      </w:r>
      <w:r w:rsidRPr="00904902">
        <w:t>eduction plan. This plan identifies City of Melbourne’s large events as a material emissions source which prompted the carbon neutral certification of this large event portfolio. This is the second consecutive year the portfolio has been certified carbon neutral.</w:t>
      </w:r>
    </w:p>
    <w:p w:rsidR="00296DC3" w:rsidRPr="00904902" w:rsidRDefault="00296DC3" w:rsidP="00296DC3">
      <w:pPr>
        <w:widowControl w:val="0"/>
        <w:tabs>
          <w:tab w:val="left" w:pos="822"/>
        </w:tabs>
        <w:spacing w:after="0"/>
        <w:ind w:right="-1"/>
      </w:pPr>
      <w:r w:rsidRPr="00904902">
        <w:t>Greenhouse gas emissions considered include carbon dioxide (CO2), methane (CH4), nitrous oxide (N20), hydrofluorocarbons (HFCs), perfluorocarbons (PFCs), sulphur hexafluoride (SF6) and nitrogen trifluoride (NF3).</w:t>
      </w:r>
    </w:p>
    <w:p w:rsidR="00296DC3" w:rsidRPr="00904902" w:rsidRDefault="00296DC3" w:rsidP="00296DC3">
      <w:pPr>
        <w:widowControl w:val="0"/>
        <w:tabs>
          <w:tab w:val="left" w:pos="822"/>
        </w:tabs>
        <w:spacing w:after="0"/>
        <w:ind w:right="-1"/>
      </w:pPr>
      <w:r w:rsidRPr="00904902">
        <w:t>The City of Melbourne has followed the Climate Active Carbon Neutral Standard for Events in the data collection and preparations of this report and used guiding Greenhouse Gas Protocol principles of; relevance, completeness, consistency, transparency and accuracy in the development of any new methodologies for this Large Event Portfolio.</w:t>
      </w:r>
    </w:p>
    <w:p w:rsidR="00667809" w:rsidRPr="00E96298" w:rsidRDefault="00667809" w:rsidP="00667809">
      <w:pPr>
        <w:pStyle w:val="Heading2"/>
        <w:rPr>
          <w:spacing w:val="-1"/>
        </w:rPr>
      </w:pPr>
      <w:bookmarkStart w:id="6" w:name="_Toc47888202"/>
      <w:r w:rsidRPr="00E96298">
        <w:rPr>
          <w:spacing w:val="-1"/>
        </w:rPr>
        <w:t>Changes since pre-event report</w:t>
      </w:r>
      <w:bookmarkEnd w:id="6"/>
      <w:r w:rsidRPr="00E96298">
        <w:rPr>
          <w:spacing w:val="-1"/>
        </w:rPr>
        <w:t xml:space="preserve"> </w:t>
      </w:r>
    </w:p>
    <w:p w:rsidR="00E96298" w:rsidRDefault="00E96298" w:rsidP="00E96298">
      <w:pPr>
        <w:pStyle w:val="Heading3"/>
      </w:pPr>
      <w:bookmarkStart w:id="7" w:name="_Toc38964317"/>
      <w:bookmarkStart w:id="8" w:name="_Toc47888203"/>
      <w:r w:rsidRPr="00E96298">
        <w:t>Table 1 Changes in reporting since the pre-event report</w:t>
      </w:r>
      <w:bookmarkEnd w:id="7"/>
      <w:bookmarkEnd w:id="8"/>
    </w:p>
    <w:p w:rsidR="00E96298" w:rsidRDefault="00E96298">
      <w:r>
        <w:t>Method Changes</w:t>
      </w:r>
    </w:p>
    <w:tbl>
      <w:tblPr>
        <w:tblStyle w:val="TableGrid"/>
        <w:tblW w:w="8647" w:type="dxa"/>
        <w:tblInd w:w="-5" w:type="dxa"/>
        <w:tblLook w:val="04A0" w:firstRow="1" w:lastRow="0" w:firstColumn="1" w:lastColumn="0" w:noHBand="0" w:noVBand="1"/>
      </w:tblPr>
      <w:tblGrid>
        <w:gridCol w:w="2948"/>
        <w:gridCol w:w="5699"/>
      </w:tblGrid>
      <w:tr w:rsidR="00E96298" w:rsidRPr="008C6844" w:rsidTr="00902EE8">
        <w:trPr>
          <w:trHeight w:val="412"/>
          <w:tblHeader/>
        </w:trPr>
        <w:tc>
          <w:tcPr>
            <w:tcW w:w="2948" w:type="dxa"/>
            <w:shd w:val="clear" w:color="auto" w:fill="B8CCE4" w:themeFill="accent1" w:themeFillTint="66"/>
            <w:vAlign w:val="center"/>
          </w:tcPr>
          <w:p w:rsidR="00E96298" w:rsidRPr="008C6844" w:rsidRDefault="00E96298" w:rsidP="00E96298">
            <w:pPr>
              <w:spacing w:before="120" w:after="120"/>
              <w:ind w:right="329"/>
              <w:rPr>
                <w:b/>
                <w:bCs/>
              </w:rPr>
            </w:pPr>
            <w:bookmarkStart w:id="9" w:name="ColumnTitle_3"/>
            <w:r w:rsidRPr="008C6844">
              <w:rPr>
                <w:b/>
                <w:bCs/>
              </w:rPr>
              <w:t>Type of change</w:t>
            </w:r>
          </w:p>
        </w:tc>
        <w:tc>
          <w:tcPr>
            <w:tcW w:w="5699" w:type="dxa"/>
            <w:shd w:val="clear" w:color="auto" w:fill="B8CCE4" w:themeFill="accent1" w:themeFillTint="66"/>
            <w:vAlign w:val="center"/>
          </w:tcPr>
          <w:p w:rsidR="00E96298" w:rsidRPr="008C6844" w:rsidRDefault="00E96298" w:rsidP="00E96298">
            <w:pPr>
              <w:ind w:right="330"/>
              <w:rPr>
                <w:b/>
                <w:bCs/>
              </w:rPr>
            </w:pPr>
            <w:r w:rsidRPr="008C6844">
              <w:rPr>
                <w:b/>
                <w:bCs/>
              </w:rPr>
              <w:t>Comments</w:t>
            </w:r>
          </w:p>
        </w:tc>
      </w:tr>
      <w:bookmarkEnd w:id="9"/>
      <w:tr w:rsidR="00667809" w:rsidRPr="007924FD" w:rsidTr="00667809">
        <w:tc>
          <w:tcPr>
            <w:tcW w:w="2948" w:type="dxa"/>
            <w:vAlign w:val="center"/>
          </w:tcPr>
          <w:p w:rsidR="00667809" w:rsidRPr="007F354A" w:rsidRDefault="00296DC3" w:rsidP="00667809">
            <w:pPr>
              <w:spacing w:before="60" w:after="60"/>
              <w:ind w:left="57" w:right="57"/>
              <w:jc w:val="center"/>
            </w:pPr>
            <w:r w:rsidRPr="00675C3A">
              <w:t>Solar Powered Trams</w:t>
            </w:r>
          </w:p>
        </w:tc>
        <w:tc>
          <w:tcPr>
            <w:tcW w:w="5699" w:type="dxa"/>
            <w:vAlign w:val="center"/>
          </w:tcPr>
          <w:p w:rsidR="00667809" w:rsidRPr="007F354A" w:rsidRDefault="00296DC3" w:rsidP="00667809">
            <w:pPr>
              <w:spacing w:before="60" w:after="60"/>
              <w:ind w:left="57" w:right="57"/>
            </w:pPr>
            <w:r w:rsidRPr="00675C3A">
              <w:t>From July 2019 the Melbourne tram network is powered by renewable energy sourced from Numurkah solar farm. To reflect this zero emissions for</w:t>
            </w:r>
            <w:r>
              <w:t xml:space="preserve">m of transport, an </w:t>
            </w:r>
            <w:r w:rsidRPr="00675C3A">
              <w:t xml:space="preserve">emissions factor </w:t>
            </w:r>
            <w:r>
              <w:t xml:space="preserve">of 0.0 </w:t>
            </w:r>
            <w:r w:rsidRPr="00675C3A">
              <w:t xml:space="preserve">has been applied to all attendee tram travel to Melbourne </w:t>
            </w:r>
            <w:r>
              <w:t>Music</w:t>
            </w:r>
            <w:r w:rsidRPr="00675C3A">
              <w:t xml:space="preserve"> Week.</w:t>
            </w:r>
          </w:p>
        </w:tc>
      </w:tr>
      <w:tr w:rsidR="00667809" w:rsidRPr="007924FD" w:rsidTr="00667809">
        <w:tc>
          <w:tcPr>
            <w:tcW w:w="2948" w:type="dxa"/>
            <w:vAlign w:val="center"/>
          </w:tcPr>
          <w:p w:rsidR="00667809" w:rsidRPr="007F354A" w:rsidRDefault="00296DC3" w:rsidP="00667809">
            <w:pPr>
              <w:spacing w:before="60" w:after="60"/>
              <w:ind w:left="57" w:right="57"/>
              <w:jc w:val="center"/>
            </w:pPr>
            <w:r w:rsidRPr="00675C3A">
              <w:t>Performer Flights – MMW attribution</w:t>
            </w:r>
          </w:p>
        </w:tc>
        <w:tc>
          <w:tcPr>
            <w:tcW w:w="5699" w:type="dxa"/>
            <w:vAlign w:val="center"/>
          </w:tcPr>
          <w:p w:rsidR="00667809" w:rsidRPr="007F354A" w:rsidRDefault="00296DC3" w:rsidP="00667809">
            <w:pPr>
              <w:spacing w:before="60" w:after="60"/>
              <w:ind w:left="57" w:right="57"/>
            </w:pPr>
            <w:r w:rsidRPr="00675C3A">
              <w:t>Performers were asked to identify any other shows/festivals/concerts they were performing other than Melbourne Music Week while travelling to Melbourne. Many international artists included Melbourne Music Week as part of larger Australian tours. Where this was the case, only a proportion of their international travel emissions have been attributed to the Melbourne Music Week inventory – for example, if Melbourne Music Week was one of five Australian shows an artist played, only 20% of the travel emissions were attributed.</w:t>
            </w:r>
          </w:p>
        </w:tc>
      </w:tr>
    </w:tbl>
    <w:p w:rsidR="00296DC3" w:rsidRDefault="00296DC3">
      <w:pPr>
        <w:spacing w:before="0" w:after="0" w:line="240" w:lineRule="auto"/>
      </w:pPr>
      <w:r>
        <w:br w:type="page"/>
      </w:r>
    </w:p>
    <w:p w:rsidR="00E96298" w:rsidRDefault="00E96298">
      <w:r w:rsidRPr="007F354A">
        <w:t>Output changes (growth/decline)</w:t>
      </w:r>
    </w:p>
    <w:tbl>
      <w:tblPr>
        <w:tblStyle w:val="TableGrid"/>
        <w:tblW w:w="8647" w:type="dxa"/>
        <w:tblInd w:w="-5" w:type="dxa"/>
        <w:tblLook w:val="04A0" w:firstRow="1" w:lastRow="0" w:firstColumn="1" w:lastColumn="0" w:noHBand="0" w:noVBand="1"/>
      </w:tblPr>
      <w:tblGrid>
        <w:gridCol w:w="2948"/>
        <w:gridCol w:w="5699"/>
      </w:tblGrid>
      <w:tr w:rsidR="00E96298" w:rsidRPr="008C6844" w:rsidTr="00902EE8">
        <w:trPr>
          <w:trHeight w:val="412"/>
          <w:tblHeader/>
        </w:trPr>
        <w:tc>
          <w:tcPr>
            <w:tcW w:w="2948" w:type="dxa"/>
            <w:shd w:val="clear" w:color="auto" w:fill="B8CCE4" w:themeFill="accent1" w:themeFillTint="66"/>
            <w:vAlign w:val="center"/>
          </w:tcPr>
          <w:p w:rsidR="00E96298" w:rsidRPr="008C6844" w:rsidRDefault="00E96298" w:rsidP="00E96298">
            <w:pPr>
              <w:spacing w:before="120" w:after="120"/>
              <w:ind w:right="329"/>
              <w:rPr>
                <w:b/>
                <w:bCs/>
              </w:rPr>
            </w:pPr>
            <w:bookmarkStart w:id="10" w:name="ColumnTitle_4"/>
            <w:r w:rsidRPr="008C6844">
              <w:rPr>
                <w:b/>
                <w:bCs/>
              </w:rPr>
              <w:t>Type of change</w:t>
            </w:r>
          </w:p>
        </w:tc>
        <w:tc>
          <w:tcPr>
            <w:tcW w:w="5699" w:type="dxa"/>
            <w:shd w:val="clear" w:color="auto" w:fill="B8CCE4" w:themeFill="accent1" w:themeFillTint="66"/>
            <w:vAlign w:val="center"/>
          </w:tcPr>
          <w:p w:rsidR="00E96298" w:rsidRPr="008C6844" w:rsidRDefault="00E96298" w:rsidP="00E96298">
            <w:pPr>
              <w:ind w:right="330"/>
              <w:rPr>
                <w:b/>
                <w:bCs/>
              </w:rPr>
            </w:pPr>
            <w:r w:rsidRPr="008C6844">
              <w:rPr>
                <w:b/>
                <w:bCs/>
              </w:rPr>
              <w:t>Comments</w:t>
            </w:r>
          </w:p>
        </w:tc>
      </w:tr>
      <w:bookmarkEnd w:id="10"/>
      <w:tr w:rsidR="00667809" w:rsidRPr="007924FD" w:rsidTr="00667809">
        <w:trPr>
          <w:trHeight w:val="917"/>
        </w:trPr>
        <w:tc>
          <w:tcPr>
            <w:tcW w:w="2948" w:type="dxa"/>
            <w:vAlign w:val="center"/>
          </w:tcPr>
          <w:p w:rsidR="00667809" w:rsidRPr="007F354A" w:rsidRDefault="00296DC3" w:rsidP="00667809">
            <w:pPr>
              <w:spacing w:before="60" w:after="60"/>
              <w:ind w:left="57" w:right="57"/>
              <w:jc w:val="center"/>
            </w:pPr>
            <w:r w:rsidRPr="00675C3A">
              <w:rPr>
                <w:rFonts w:cs="Arial"/>
                <w:color w:val="000000"/>
              </w:rPr>
              <w:t>Attendee Travel</w:t>
            </w:r>
          </w:p>
        </w:tc>
        <w:tc>
          <w:tcPr>
            <w:tcW w:w="5699" w:type="dxa"/>
            <w:vAlign w:val="center"/>
          </w:tcPr>
          <w:p w:rsidR="00667809" w:rsidRPr="007F354A" w:rsidRDefault="00296DC3" w:rsidP="00667809">
            <w:pPr>
              <w:spacing w:before="60" w:after="60"/>
              <w:ind w:left="57" w:right="57"/>
            </w:pPr>
            <w:r w:rsidRPr="00675C3A">
              <w:rPr>
                <w:rFonts w:cs="Arial"/>
                <w:color w:val="000000"/>
              </w:rPr>
              <w:t>While there were similar attendee numbers in 2019 compared with 2018, the total distance travelled by attendees was further in 2019 and a higher proportion travelled by car. This has resulted in an increase in attendee travel emissions.</w:t>
            </w:r>
          </w:p>
        </w:tc>
      </w:tr>
    </w:tbl>
    <w:p w:rsidR="00667809" w:rsidRPr="00E96298" w:rsidRDefault="00667809" w:rsidP="00667809">
      <w:pPr>
        <w:pStyle w:val="Heading2"/>
        <w:rPr>
          <w:spacing w:val="-1"/>
        </w:rPr>
      </w:pPr>
      <w:bookmarkStart w:id="11" w:name="_Toc47888204"/>
      <w:r w:rsidRPr="00E96298">
        <w:rPr>
          <w:spacing w:val="-1"/>
        </w:rPr>
        <w:t>Emissions reduction strategy</w:t>
      </w:r>
      <w:bookmarkEnd w:id="11"/>
    </w:p>
    <w:p w:rsidR="00296DC3" w:rsidRDefault="00296DC3" w:rsidP="00296DC3">
      <w:bookmarkStart w:id="12" w:name="3._Emissions_summary"/>
      <w:bookmarkEnd w:id="12"/>
      <w:r w:rsidRPr="00904902">
        <w:t xml:space="preserve">A number of emissions reduction activities were undertaken in the delivery of Melbourne </w:t>
      </w:r>
      <w:r>
        <w:t xml:space="preserve">Music Week 2019. </w:t>
      </w:r>
      <w:r w:rsidRPr="00904902">
        <w:t>Where possible individually quantified emissions reductions have been calculated and reported in the table below</w:t>
      </w:r>
      <w:r>
        <w:t xml:space="preserve">. </w:t>
      </w:r>
    </w:p>
    <w:p w:rsidR="00296DC3" w:rsidRPr="00780551" w:rsidRDefault="00296DC3" w:rsidP="00296DC3">
      <w:pPr>
        <w:widowControl w:val="0"/>
        <w:spacing w:after="120" w:line="240" w:lineRule="auto"/>
        <w:ind w:right="-1"/>
        <w:rPr>
          <w:spacing w:val="-1"/>
          <w:lang w:val="en-US"/>
        </w:rPr>
      </w:pPr>
      <w:r w:rsidRPr="00780551">
        <w:rPr>
          <w:spacing w:val="-1"/>
          <w:lang w:val="en-US"/>
        </w:rPr>
        <w:t xml:space="preserve">Future </w:t>
      </w:r>
      <w:r>
        <w:rPr>
          <w:spacing w:val="-1"/>
          <w:lang w:val="en-US"/>
        </w:rPr>
        <w:t xml:space="preserve">emissions reduction activities being explored for Melbourne Music Week 2020 include: Advising performers to offset any flights at the point of purchase; </w:t>
      </w:r>
      <w:r>
        <w:t>promotion of tram travel (run on renewable energy) to attendees; encouraging partner venues to consider renewable energy purchasing.</w:t>
      </w:r>
    </w:p>
    <w:p w:rsidR="00E96298" w:rsidRPr="00E96298" w:rsidRDefault="00E96298" w:rsidP="00E96298">
      <w:pPr>
        <w:pStyle w:val="Heading3"/>
      </w:pPr>
      <w:bookmarkStart w:id="13" w:name="_Toc47888205"/>
      <w:r w:rsidRPr="00E96298">
        <w:t>Table 2 Emissions reduction measures implemented in the current certification period</w:t>
      </w:r>
      <w:bookmarkEnd w:id="13"/>
    </w:p>
    <w:tbl>
      <w:tblPr>
        <w:tblW w:w="86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1"/>
        <w:gridCol w:w="3402"/>
        <w:gridCol w:w="992"/>
        <w:gridCol w:w="1417"/>
        <w:gridCol w:w="1276"/>
      </w:tblGrid>
      <w:tr w:rsidR="00667809" w:rsidRPr="008C6844" w:rsidTr="00902EE8">
        <w:trPr>
          <w:trHeight w:hRule="exact" w:val="1226"/>
          <w:tblHeader/>
        </w:trPr>
        <w:tc>
          <w:tcPr>
            <w:tcW w:w="1571" w:type="dxa"/>
            <w:shd w:val="clear" w:color="auto" w:fill="DBE5F1" w:themeFill="accent1" w:themeFillTint="33"/>
            <w:vAlign w:val="center"/>
          </w:tcPr>
          <w:p w:rsidR="00667809" w:rsidRPr="008C6844" w:rsidRDefault="00667809" w:rsidP="008C6844">
            <w:pPr>
              <w:pStyle w:val="TableofFigures"/>
              <w:rPr>
                <w:rFonts w:eastAsia="Calibri" w:cs="Calibri"/>
                <w:b/>
                <w:bCs/>
              </w:rPr>
            </w:pPr>
            <w:bookmarkStart w:id="14" w:name="ColumnTitle_5"/>
            <w:r w:rsidRPr="008C6844">
              <w:rPr>
                <w:b/>
                <w:bCs/>
              </w:rPr>
              <w:t>Emission source</w:t>
            </w:r>
          </w:p>
        </w:tc>
        <w:tc>
          <w:tcPr>
            <w:tcW w:w="3402"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Reduction measure and calculation method</w:t>
            </w:r>
          </w:p>
        </w:tc>
        <w:tc>
          <w:tcPr>
            <w:tcW w:w="992"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Scope</w:t>
            </w:r>
          </w:p>
        </w:tc>
        <w:tc>
          <w:tcPr>
            <w:tcW w:w="1417"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Status</w:t>
            </w:r>
          </w:p>
        </w:tc>
        <w:tc>
          <w:tcPr>
            <w:tcW w:w="1276" w:type="dxa"/>
            <w:shd w:val="clear" w:color="auto" w:fill="DBE5F1" w:themeFill="accent1" w:themeFillTint="33"/>
            <w:vAlign w:val="center"/>
          </w:tcPr>
          <w:p w:rsidR="00667809" w:rsidRPr="008C6844" w:rsidRDefault="00667809" w:rsidP="008C6844">
            <w:pPr>
              <w:pStyle w:val="TableofFigures"/>
              <w:rPr>
                <w:rFonts w:eastAsia="Calibri" w:cs="Calibri"/>
                <w:b/>
                <w:bCs/>
              </w:rPr>
            </w:pPr>
            <w:r w:rsidRPr="008C6844">
              <w:rPr>
                <w:b/>
                <w:bCs/>
              </w:rPr>
              <w:t>Reduction t CO</w:t>
            </w:r>
            <w:r w:rsidRPr="008C6844">
              <w:rPr>
                <w:b/>
                <w:bCs/>
                <w:position w:val="-2"/>
              </w:rPr>
              <w:t>2</w:t>
            </w:r>
            <w:r w:rsidRPr="008C6844">
              <w:rPr>
                <w:b/>
                <w:bCs/>
              </w:rPr>
              <w:t>-e</w:t>
            </w:r>
          </w:p>
        </w:tc>
      </w:tr>
      <w:bookmarkEnd w:id="14"/>
      <w:tr w:rsidR="00296DC3" w:rsidRPr="007924FD" w:rsidTr="00667809">
        <w:trPr>
          <w:trHeight w:val="1306"/>
        </w:trPr>
        <w:tc>
          <w:tcPr>
            <w:tcW w:w="1571" w:type="dxa"/>
            <w:vAlign w:val="center"/>
          </w:tcPr>
          <w:p w:rsidR="00296DC3" w:rsidRPr="007F354A" w:rsidRDefault="00296DC3" w:rsidP="00296DC3">
            <w:pPr>
              <w:spacing w:before="60" w:after="60"/>
              <w:ind w:left="57" w:right="113"/>
              <w:jc w:val="center"/>
            </w:pPr>
            <w:r w:rsidRPr="00675C3A">
              <w:t>Grid Gas</w:t>
            </w:r>
          </w:p>
        </w:tc>
        <w:tc>
          <w:tcPr>
            <w:tcW w:w="3402" w:type="dxa"/>
            <w:vAlign w:val="center"/>
          </w:tcPr>
          <w:p w:rsidR="00296DC3" w:rsidRPr="007F354A" w:rsidRDefault="00296DC3" w:rsidP="00296DC3">
            <w:pPr>
              <w:spacing w:before="60" w:after="60"/>
              <w:ind w:left="57" w:right="113"/>
            </w:pPr>
            <w:r w:rsidRPr="00675C3A">
              <w:t>Moving to a hub without mains gas. Calculated as difference between 2018 and 2019 inventories</w:t>
            </w:r>
            <w:r>
              <w:t>.</w:t>
            </w:r>
          </w:p>
        </w:tc>
        <w:tc>
          <w:tcPr>
            <w:tcW w:w="992" w:type="dxa"/>
            <w:vAlign w:val="center"/>
          </w:tcPr>
          <w:p w:rsidR="00296DC3" w:rsidRPr="007F354A" w:rsidRDefault="00296DC3" w:rsidP="00296DC3">
            <w:pPr>
              <w:spacing w:before="60" w:after="60"/>
              <w:ind w:left="57" w:right="113"/>
            </w:pPr>
            <w:r w:rsidRPr="00675C3A">
              <w:t>1</w:t>
            </w:r>
          </w:p>
        </w:tc>
        <w:tc>
          <w:tcPr>
            <w:tcW w:w="1417" w:type="dxa"/>
            <w:vAlign w:val="center"/>
          </w:tcPr>
          <w:p w:rsidR="00296DC3" w:rsidRPr="007F354A" w:rsidRDefault="00296DC3" w:rsidP="00296DC3">
            <w:pPr>
              <w:spacing w:before="60" w:after="60"/>
              <w:ind w:left="57" w:right="113"/>
            </w:pPr>
            <w:r w:rsidRPr="00675C3A">
              <w:t>Achieved</w:t>
            </w:r>
          </w:p>
        </w:tc>
        <w:tc>
          <w:tcPr>
            <w:tcW w:w="1276" w:type="dxa"/>
            <w:vAlign w:val="center"/>
          </w:tcPr>
          <w:p w:rsidR="00296DC3" w:rsidRPr="007F354A" w:rsidRDefault="00296DC3" w:rsidP="00296DC3">
            <w:pPr>
              <w:spacing w:before="60" w:after="60"/>
              <w:ind w:left="57" w:right="113"/>
              <w:contextualSpacing/>
            </w:pPr>
            <w:r w:rsidRPr="00675C3A">
              <w:t>5.7</w:t>
            </w:r>
          </w:p>
        </w:tc>
      </w:tr>
      <w:tr w:rsidR="00667809" w:rsidRPr="007924FD" w:rsidTr="00667809">
        <w:trPr>
          <w:trHeight w:val="1524"/>
        </w:trPr>
        <w:tc>
          <w:tcPr>
            <w:tcW w:w="1571" w:type="dxa"/>
            <w:vAlign w:val="center"/>
          </w:tcPr>
          <w:p w:rsidR="00667809" w:rsidRPr="007F354A" w:rsidRDefault="00296DC3" w:rsidP="00667809">
            <w:pPr>
              <w:spacing w:before="60" w:after="60"/>
              <w:ind w:left="57" w:right="113"/>
              <w:jc w:val="center"/>
            </w:pPr>
            <w:r w:rsidRPr="00675C3A">
              <w:t>Grid Electricity</w:t>
            </w:r>
          </w:p>
        </w:tc>
        <w:tc>
          <w:tcPr>
            <w:tcW w:w="3402" w:type="dxa"/>
            <w:vAlign w:val="center"/>
          </w:tcPr>
          <w:p w:rsidR="00667809" w:rsidRPr="007F354A" w:rsidRDefault="00296DC3" w:rsidP="00667809">
            <w:pPr>
              <w:spacing w:before="60" w:after="60"/>
              <w:ind w:left="57" w:right="113"/>
            </w:pPr>
            <w:r w:rsidRPr="00675C3A">
              <w:t>Moving to a hub which uses 100% GreenPower. Calculated as difference between 2018 and 2019 inventories</w:t>
            </w:r>
            <w:r>
              <w:t>.</w:t>
            </w:r>
          </w:p>
        </w:tc>
        <w:tc>
          <w:tcPr>
            <w:tcW w:w="992" w:type="dxa"/>
            <w:vAlign w:val="center"/>
          </w:tcPr>
          <w:p w:rsidR="00667809" w:rsidRPr="007F354A" w:rsidRDefault="00296DC3" w:rsidP="00667809">
            <w:pPr>
              <w:spacing w:before="60" w:after="60"/>
              <w:ind w:left="57" w:right="113"/>
            </w:pPr>
            <w:r>
              <w:t>2</w:t>
            </w:r>
          </w:p>
        </w:tc>
        <w:tc>
          <w:tcPr>
            <w:tcW w:w="1417" w:type="dxa"/>
            <w:vAlign w:val="center"/>
          </w:tcPr>
          <w:p w:rsidR="00667809" w:rsidRPr="007F354A" w:rsidRDefault="00667809" w:rsidP="00667809">
            <w:pPr>
              <w:spacing w:before="60" w:after="60"/>
              <w:ind w:left="57" w:right="113"/>
            </w:pPr>
            <w:r w:rsidRPr="007F354A">
              <w:t>Achieved</w:t>
            </w:r>
          </w:p>
        </w:tc>
        <w:tc>
          <w:tcPr>
            <w:tcW w:w="1276" w:type="dxa"/>
            <w:vAlign w:val="center"/>
          </w:tcPr>
          <w:p w:rsidR="00667809" w:rsidRPr="007F354A" w:rsidRDefault="00296DC3" w:rsidP="00667809">
            <w:pPr>
              <w:spacing w:before="60" w:after="60"/>
              <w:ind w:left="57" w:right="113"/>
              <w:contextualSpacing/>
            </w:pPr>
            <w:r w:rsidRPr="00675C3A">
              <w:t>2.0</w:t>
            </w:r>
          </w:p>
        </w:tc>
      </w:tr>
      <w:tr w:rsidR="00296DC3" w:rsidRPr="007924FD" w:rsidTr="00667809">
        <w:tc>
          <w:tcPr>
            <w:tcW w:w="1571" w:type="dxa"/>
            <w:vAlign w:val="center"/>
          </w:tcPr>
          <w:p w:rsidR="00296DC3" w:rsidRPr="007F354A" w:rsidRDefault="00296DC3" w:rsidP="00296DC3">
            <w:pPr>
              <w:spacing w:before="60" w:after="60"/>
              <w:ind w:left="57" w:right="113"/>
              <w:jc w:val="center"/>
            </w:pPr>
            <w:r w:rsidRPr="00675C3A">
              <w:t>Attendee Transport – Trams</w:t>
            </w:r>
          </w:p>
        </w:tc>
        <w:tc>
          <w:tcPr>
            <w:tcW w:w="3402" w:type="dxa"/>
            <w:vAlign w:val="center"/>
          </w:tcPr>
          <w:p w:rsidR="00296DC3" w:rsidRPr="007F354A" w:rsidRDefault="00296DC3" w:rsidP="00296DC3">
            <w:pPr>
              <w:autoSpaceDE w:val="0"/>
              <w:autoSpaceDN w:val="0"/>
              <w:adjustRightInd w:val="0"/>
              <w:rPr>
                <w:rFonts w:ascii="Calibri" w:hAnsi="Calibri" w:cs="Calibri"/>
              </w:rPr>
            </w:pPr>
            <w:r w:rsidRPr="00675C3A">
              <w:t>From July 2019 the Melbourne tram network is powered by 100% solar power. Emissions reduction represent the difference between applying the previous emissions factor to all MFW attendee tram travel and an emissions factor of 0</w:t>
            </w:r>
            <w:r>
              <w:t>.</w:t>
            </w:r>
          </w:p>
        </w:tc>
        <w:tc>
          <w:tcPr>
            <w:tcW w:w="992" w:type="dxa"/>
            <w:vAlign w:val="center"/>
          </w:tcPr>
          <w:p w:rsidR="00296DC3" w:rsidRPr="007F354A" w:rsidRDefault="00296DC3" w:rsidP="00296DC3">
            <w:pPr>
              <w:spacing w:before="60" w:after="60"/>
              <w:ind w:left="57" w:right="113"/>
            </w:pPr>
            <w:r w:rsidRPr="007F354A">
              <w:t>3</w:t>
            </w:r>
          </w:p>
        </w:tc>
        <w:tc>
          <w:tcPr>
            <w:tcW w:w="1417" w:type="dxa"/>
            <w:vAlign w:val="center"/>
          </w:tcPr>
          <w:p w:rsidR="00296DC3" w:rsidRPr="007F354A" w:rsidRDefault="00296DC3" w:rsidP="00296DC3">
            <w:pPr>
              <w:spacing w:before="60" w:after="60"/>
              <w:ind w:left="57" w:right="113"/>
            </w:pPr>
            <w:r w:rsidRPr="007F354A">
              <w:t>Achieved</w:t>
            </w:r>
          </w:p>
        </w:tc>
        <w:tc>
          <w:tcPr>
            <w:tcW w:w="1276" w:type="dxa"/>
            <w:vAlign w:val="center"/>
          </w:tcPr>
          <w:p w:rsidR="00296DC3" w:rsidRPr="007F354A" w:rsidRDefault="00296DC3" w:rsidP="00296DC3">
            <w:pPr>
              <w:spacing w:before="60" w:after="60"/>
              <w:ind w:left="57" w:right="113"/>
              <w:contextualSpacing/>
            </w:pPr>
            <w:r w:rsidRPr="00675C3A">
              <w:t>27.5</w:t>
            </w:r>
          </w:p>
        </w:tc>
      </w:tr>
      <w:tr w:rsidR="00667809" w:rsidRPr="007924FD" w:rsidTr="00296DC3">
        <w:trPr>
          <w:cantSplit/>
        </w:trPr>
        <w:tc>
          <w:tcPr>
            <w:tcW w:w="1571" w:type="dxa"/>
            <w:vAlign w:val="center"/>
          </w:tcPr>
          <w:p w:rsidR="00667809" w:rsidRPr="007F354A" w:rsidRDefault="00296DC3" w:rsidP="00667809">
            <w:pPr>
              <w:spacing w:before="60" w:after="60"/>
              <w:ind w:left="57" w:right="113"/>
              <w:jc w:val="center"/>
            </w:pPr>
            <w:r w:rsidRPr="00675C3A">
              <w:t>Performer/Staff Flights</w:t>
            </w:r>
          </w:p>
        </w:tc>
        <w:tc>
          <w:tcPr>
            <w:tcW w:w="3402" w:type="dxa"/>
            <w:vAlign w:val="center"/>
          </w:tcPr>
          <w:p w:rsidR="00667809" w:rsidRPr="007F354A" w:rsidRDefault="00296DC3" w:rsidP="00667809">
            <w:pPr>
              <w:spacing w:before="60" w:after="60"/>
              <w:ind w:left="57" w:right="113"/>
            </w:pPr>
            <w:r w:rsidRPr="00675C3A">
              <w:t>All flights which were booked through the City of Melbourne Corporate Traveller account are offset under the City of Melbourne’s organizational carbon neutrality. Where an international performer had booked their own travel, they were asked to report how many other shows they were playing if on tour. Only a proportion of their international travel emissions have been attributed to the Melbourne Music Week if they were playing other shows.</w:t>
            </w:r>
          </w:p>
        </w:tc>
        <w:tc>
          <w:tcPr>
            <w:tcW w:w="992" w:type="dxa"/>
            <w:vAlign w:val="center"/>
          </w:tcPr>
          <w:p w:rsidR="00667809" w:rsidRPr="007F354A" w:rsidRDefault="00667809" w:rsidP="00667809">
            <w:pPr>
              <w:spacing w:before="60" w:after="60"/>
              <w:ind w:left="57" w:right="113"/>
            </w:pPr>
            <w:r w:rsidRPr="007F354A">
              <w:t>3</w:t>
            </w:r>
          </w:p>
        </w:tc>
        <w:tc>
          <w:tcPr>
            <w:tcW w:w="1417" w:type="dxa"/>
            <w:vAlign w:val="center"/>
          </w:tcPr>
          <w:p w:rsidR="00667809" w:rsidRPr="007F354A" w:rsidRDefault="00667809" w:rsidP="00667809">
            <w:pPr>
              <w:spacing w:before="60" w:after="60"/>
              <w:ind w:left="57" w:right="113"/>
            </w:pPr>
            <w:r w:rsidRPr="007F354A">
              <w:t>Achieved</w:t>
            </w:r>
          </w:p>
        </w:tc>
        <w:tc>
          <w:tcPr>
            <w:tcW w:w="1276" w:type="dxa"/>
            <w:vAlign w:val="center"/>
          </w:tcPr>
          <w:p w:rsidR="00667809" w:rsidRPr="007F354A" w:rsidRDefault="00296DC3" w:rsidP="00667809">
            <w:pPr>
              <w:spacing w:before="60" w:after="60"/>
              <w:ind w:left="57" w:right="113"/>
              <w:contextualSpacing/>
            </w:pPr>
            <w:r w:rsidRPr="00675C3A">
              <w:t>20.2</w:t>
            </w:r>
          </w:p>
        </w:tc>
      </w:tr>
      <w:tr w:rsidR="00296DC3" w:rsidRPr="007924FD" w:rsidTr="00296DC3">
        <w:trPr>
          <w:cantSplit/>
        </w:trPr>
        <w:tc>
          <w:tcPr>
            <w:tcW w:w="1571" w:type="dxa"/>
            <w:vAlign w:val="center"/>
          </w:tcPr>
          <w:p w:rsidR="00296DC3" w:rsidRPr="00675C3A" w:rsidRDefault="00296DC3" w:rsidP="00296DC3">
            <w:pPr>
              <w:spacing w:before="60" w:after="60"/>
              <w:ind w:left="57" w:right="113"/>
              <w:jc w:val="center"/>
            </w:pPr>
            <w:r w:rsidRPr="00675C3A">
              <w:t>Tier Two Energy and Waste</w:t>
            </w:r>
          </w:p>
        </w:tc>
        <w:tc>
          <w:tcPr>
            <w:tcW w:w="3402" w:type="dxa"/>
            <w:vAlign w:val="center"/>
          </w:tcPr>
          <w:p w:rsidR="00296DC3" w:rsidRPr="00675C3A" w:rsidRDefault="00296DC3" w:rsidP="00296DC3">
            <w:pPr>
              <w:spacing w:before="60" w:after="60"/>
              <w:ind w:left="57" w:right="113"/>
            </w:pPr>
            <w:r w:rsidRPr="00675C3A">
              <w:t>All partner venues for Melbourne Music Week 2019 were provided with advice sheets on the top three energy and waste reduction measures they could implement in their venues</w:t>
            </w:r>
            <w:r>
              <w:t>.</w:t>
            </w:r>
          </w:p>
        </w:tc>
        <w:tc>
          <w:tcPr>
            <w:tcW w:w="992" w:type="dxa"/>
            <w:vAlign w:val="center"/>
          </w:tcPr>
          <w:p w:rsidR="00296DC3" w:rsidRPr="007F354A" w:rsidRDefault="00296DC3" w:rsidP="00296DC3">
            <w:pPr>
              <w:spacing w:before="60" w:after="60"/>
              <w:ind w:left="57" w:right="113"/>
            </w:pPr>
            <w:r w:rsidRPr="00675C3A">
              <w:t>2&amp;3</w:t>
            </w:r>
          </w:p>
        </w:tc>
        <w:tc>
          <w:tcPr>
            <w:tcW w:w="1417" w:type="dxa"/>
            <w:vAlign w:val="center"/>
          </w:tcPr>
          <w:p w:rsidR="00296DC3" w:rsidRPr="007F354A" w:rsidRDefault="00296DC3" w:rsidP="00296DC3">
            <w:pPr>
              <w:spacing w:before="60" w:after="60"/>
              <w:ind w:left="57" w:right="113"/>
            </w:pPr>
            <w:r w:rsidRPr="00675C3A">
              <w:t>Ongoing</w:t>
            </w:r>
          </w:p>
        </w:tc>
        <w:tc>
          <w:tcPr>
            <w:tcW w:w="1276" w:type="dxa"/>
            <w:vAlign w:val="center"/>
          </w:tcPr>
          <w:p w:rsidR="00296DC3" w:rsidRPr="00675C3A" w:rsidRDefault="00296DC3" w:rsidP="00296DC3">
            <w:pPr>
              <w:spacing w:before="60" w:after="60"/>
              <w:ind w:left="57" w:right="113"/>
              <w:contextualSpacing/>
            </w:pPr>
            <w:r w:rsidRPr="00675C3A">
              <w:t xml:space="preserve">Not quantified </w:t>
            </w:r>
          </w:p>
        </w:tc>
      </w:tr>
    </w:tbl>
    <w:p w:rsidR="00D46B11" w:rsidRDefault="00D46B11" w:rsidP="00667809">
      <w:r w:rsidRPr="00675C3A">
        <w:rPr>
          <w:b/>
        </w:rPr>
        <w:t>Total emission reductions implemented in this certification period</w:t>
      </w:r>
      <w:r w:rsidRPr="00675C3A">
        <w:t xml:space="preserve"> (t CO</w:t>
      </w:r>
      <w:r w:rsidRPr="00675C3A">
        <w:rPr>
          <w:vertAlign w:val="subscript"/>
        </w:rPr>
        <w:t>2</w:t>
      </w:r>
      <w:r w:rsidRPr="00675C3A">
        <w:t>-e)</w:t>
      </w:r>
      <w:r>
        <w:t xml:space="preserve"> </w:t>
      </w:r>
      <w:r w:rsidR="00296DC3">
        <w:t>55.4</w:t>
      </w:r>
    </w:p>
    <w:p w:rsidR="00667809" w:rsidRPr="00524A3F" w:rsidRDefault="00667809" w:rsidP="00667809">
      <w:pPr>
        <w:rPr>
          <w:rFonts w:asciiTheme="majorHAnsi" w:eastAsiaTheme="majorEastAsia" w:hAnsiTheme="majorHAnsi" w:cstheme="majorBidi"/>
          <w:sz w:val="26"/>
          <w:szCs w:val="26"/>
        </w:rPr>
      </w:pPr>
      <w:r>
        <w:br w:type="page"/>
      </w:r>
    </w:p>
    <w:p w:rsidR="00667809" w:rsidRPr="007613F7" w:rsidRDefault="00667809" w:rsidP="00667809">
      <w:pPr>
        <w:pStyle w:val="Heading1"/>
        <w:rPr>
          <w:spacing w:val="-1"/>
          <w:szCs w:val="28"/>
        </w:rPr>
      </w:pPr>
      <w:bookmarkStart w:id="15" w:name="_Toc47888206"/>
      <w:r w:rsidRPr="007613F7">
        <w:rPr>
          <w:spacing w:val="-1"/>
          <w:szCs w:val="28"/>
        </w:rPr>
        <w:t>Emission Boundary</w:t>
      </w:r>
      <w:bookmarkEnd w:id="15"/>
    </w:p>
    <w:p w:rsidR="00667809" w:rsidRDefault="00667809" w:rsidP="00667809">
      <w:pPr>
        <w:pStyle w:val="Heading2"/>
        <w:rPr>
          <w:spacing w:val="-1"/>
        </w:rPr>
      </w:pPr>
      <w:bookmarkStart w:id="16" w:name="_Toc47888207"/>
      <w:r w:rsidRPr="00D46B11">
        <w:rPr>
          <w:spacing w:val="-1"/>
        </w:rPr>
        <w:t>Diagram of the certification boundary</w:t>
      </w:r>
      <w:bookmarkEnd w:id="16"/>
    </w:p>
    <w:tbl>
      <w:tblPr>
        <w:tblStyle w:val="TableGrid"/>
        <w:tblW w:w="0" w:type="auto"/>
        <w:tblLook w:val="04A0" w:firstRow="1" w:lastRow="0" w:firstColumn="1" w:lastColumn="0" w:noHBand="0" w:noVBand="1"/>
      </w:tblPr>
      <w:tblGrid>
        <w:gridCol w:w="3209"/>
        <w:gridCol w:w="3209"/>
        <w:gridCol w:w="3210"/>
      </w:tblGrid>
      <w:tr w:rsidR="00D46B11" w:rsidRPr="00D46B11" w:rsidTr="00902EE8">
        <w:trPr>
          <w:tblHeader/>
        </w:trPr>
        <w:tc>
          <w:tcPr>
            <w:tcW w:w="3209" w:type="dxa"/>
          </w:tcPr>
          <w:p w:rsidR="00D46B11" w:rsidRPr="00D46B11" w:rsidRDefault="00D46B11" w:rsidP="00D46B11">
            <w:pPr>
              <w:pStyle w:val="Subtitle2"/>
              <w:jc w:val="center"/>
            </w:pPr>
            <w:bookmarkStart w:id="17" w:name="ColumnTitle_6"/>
            <w:r w:rsidRPr="00D46B11">
              <w:t>Quantified</w:t>
            </w:r>
          </w:p>
        </w:tc>
        <w:tc>
          <w:tcPr>
            <w:tcW w:w="3209" w:type="dxa"/>
          </w:tcPr>
          <w:p w:rsidR="00D46B11" w:rsidRPr="00D46B11" w:rsidRDefault="00D46B11" w:rsidP="00D46B11">
            <w:pPr>
              <w:pStyle w:val="Subtitle2"/>
              <w:jc w:val="center"/>
            </w:pPr>
            <w:r w:rsidRPr="00D46B11">
              <w:t>Non-Quantified</w:t>
            </w:r>
          </w:p>
        </w:tc>
        <w:tc>
          <w:tcPr>
            <w:tcW w:w="3210" w:type="dxa"/>
          </w:tcPr>
          <w:p w:rsidR="00D46B11" w:rsidRPr="00D46B11" w:rsidRDefault="00D46B11" w:rsidP="00D46B11">
            <w:pPr>
              <w:pStyle w:val="Subtitle2"/>
              <w:jc w:val="center"/>
            </w:pPr>
            <w:r w:rsidRPr="00D46B11">
              <w:t>Excluded</w:t>
            </w:r>
          </w:p>
        </w:tc>
      </w:tr>
      <w:bookmarkEnd w:id="17"/>
      <w:tr w:rsidR="00D46B11" w:rsidTr="00D46B11">
        <w:tc>
          <w:tcPr>
            <w:tcW w:w="3209" w:type="dxa"/>
          </w:tcPr>
          <w:p w:rsidR="00D46B11" w:rsidRDefault="00D46B11" w:rsidP="00D46B11">
            <w:pPr>
              <w:pStyle w:val="ListBullet"/>
            </w:pPr>
            <w:r w:rsidRPr="00F128C4">
              <w:t xml:space="preserve">Electricity </w:t>
            </w:r>
          </w:p>
          <w:p w:rsidR="00D46B11" w:rsidRDefault="00D46B11" w:rsidP="00D46B11">
            <w:pPr>
              <w:pStyle w:val="ListBullet"/>
            </w:pPr>
            <w:r>
              <w:t xml:space="preserve">Gas </w:t>
            </w:r>
          </w:p>
          <w:p w:rsidR="00D46B11" w:rsidRDefault="00D46B11" w:rsidP="00D46B11">
            <w:pPr>
              <w:pStyle w:val="ListBullet"/>
            </w:pPr>
            <w:r>
              <w:t>Diesel F</w:t>
            </w:r>
            <w:r w:rsidRPr="00A31036">
              <w:t>uel</w:t>
            </w:r>
          </w:p>
          <w:p w:rsidR="00D46B11" w:rsidRDefault="00D46B11" w:rsidP="00D46B11">
            <w:pPr>
              <w:pStyle w:val="ListBullet"/>
            </w:pPr>
            <w:r w:rsidRPr="00A31036">
              <w:t>Attendee Travel</w:t>
            </w:r>
            <w:r>
              <w:t xml:space="preserve"> (ground transport)</w:t>
            </w:r>
          </w:p>
          <w:p w:rsidR="00D46B11" w:rsidRDefault="00D46B11" w:rsidP="00D46B11">
            <w:pPr>
              <w:pStyle w:val="ListBullet"/>
            </w:pPr>
            <w:r w:rsidRPr="00A31036">
              <w:t xml:space="preserve">Participant Travel (flights) </w:t>
            </w:r>
          </w:p>
          <w:p w:rsidR="00D46B11" w:rsidRDefault="00D46B11" w:rsidP="00D46B11">
            <w:pPr>
              <w:pStyle w:val="ListBullet"/>
            </w:pPr>
            <w:r w:rsidRPr="00A31036">
              <w:rPr>
                <w:rFonts w:hAnsiTheme="minorHAnsi"/>
                <w:sz w:val="22"/>
              </w:rPr>
              <w:t xml:space="preserve">Participant </w:t>
            </w:r>
            <w:r w:rsidRPr="00A31036">
              <w:t xml:space="preserve">Accommodation </w:t>
            </w:r>
          </w:p>
          <w:p w:rsidR="00D46B11" w:rsidRDefault="00D46B11" w:rsidP="00D46B11">
            <w:pPr>
              <w:pStyle w:val="ListBullet"/>
            </w:pPr>
            <w:r>
              <w:t>Food and D</w:t>
            </w:r>
            <w:r w:rsidRPr="00A31036">
              <w:t>rink</w:t>
            </w:r>
          </w:p>
          <w:p w:rsidR="00D46B11" w:rsidRDefault="00D46B11" w:rsidP="00D46B11">
            <w:pPr>
              <w:pStyle w:val="ListBullet"/>
            </w:pPr>
            <w:r w:rsidRPr="00A31036">
              <w:t>Food Waste</w:t>
            </w:r>
          </w:p>
          <w:p w:rsidR="00D46B11" w:rsidRDefault="00D46B11" w:rsidP="00D46B11">
            <w:pPr>
              <w:pStyle w:val="ListBullet"/>
            </w:pPr>
            <w:r>
              <w:t>General Waste</w:t>
            </w:r>
          </w:p>
          <w:p w:rsidR="00D46B11" w:rsidRDefault="00D46B11" w:rsidP="00D46B11">
            <w:pPr>
              <w:pStyle w:val="ListBullet"/>
            </w:pPr>
            <w:r>
              <w:t>Construction Waste</w:t>
            </w:r>
          </w:p>
          <w:p w:rsidR="00D46B11" w:rsidRDefault="00D46B11" w:rsidP="00D46B11">
            <w:pPr>
              <w:pStyle w:val="ListBullet"/>
            </w:pPr>
            <w:r>
              <w:t>Construction Materials</w:t>
            </w:r>
            <w:r w:rsidRPr="00A31036">
              <w:t xml:space="preserve"> </w:t>
            </w:r>
          </w:p>
          <w:p w:rsidR="00D46B11" w:rsidRPr="00A31036" w:rsidRDefault="00D46B11" w:rsidP="00D46B11">
            <w:pPr>
              <w:pStyle w:val="ListBullet"/>
            </w:pPr>
            <w:r>
              <w:t>Marketing Materials</w:t>
            </w:r>
          </w:p>
          <w:p w:rsidR="00D46B11" w:rsidRDefault="00D46B11" w:rsidP="00D46B11">
            <w:pPr>
              <w:pStyle w:val="ListBullet"/>
            </w:pPr>
            <w:r>
              <w:t>Florals</w:t>
            </w:r>
          </w:p>
          <w:p w:rsidR="00D46B11" w:rsidRDefault="00D46B11" w:rsidP="00D46B11">
            <w:pPr>
              <w:pStyle w:val="ListBullet"/>
            </w:pPr>
            <w:r>
              <w:t>Tier Three Events</w:t>
            </w:r>
          </w:p>
        </w:tc>
        <w:tc>
          <w:tcPr>
            <w:tcW w:w="3209" w:type="dxa"/>
          </w:tcPr>
          <w:p w:rsidR="00D46B11" w:rsidRDefault="00D46B11" w:rsidP="00D46B11">
            <w:pPr>
              <w:rPr>
                <w:lang w:val="en-US"/>
              </w:rPr>
            </w:pPr>
          </w:p>
        </w:tc>
        <w:tc>
          <w:tcPr>
            <w:tcW w:w="3210" w:type="dxa"/>
          </w:tcPr>
          <w:p w:rsidR="00D46B11" w:rsidRDefault="00D46B11" w:rsidP="00D46B11">
            <w:pPr>
              <w:pStyle w:val="ListBullet"/>
            </w:pPr>
            <w:r>
              <w:t>Contractor Vehicle Use</w:t>
            </w:r>
          </w:p>
          <w:p w:rsidR="00D46B11" w:rsidRDefault="00D46B11" w:rsidP="00D46B11">
            <w:pPr>
              <w:pStyle w:val="ListBullet"/>
            </w:pPr>
            <w:r>
              <w:t>Attendee Accommodation</w:t>
            </w:r>
          </w:p>
          <w:p w:rsidR="00D46B11" w:rsidRDefault="00D46B11" w:rsidP="00D46B11">
            <w:pPr>
              <w:pStyle w:val="ListBullet"/>
            </w:pPr>
            <w:r>
              <w:t>Warehouse Electricity Use</w:t>
            </w:r>
          </w:p>
          <w:p w:rsidR="00D46B11" w:rsidRDefault="00D46B11" w:rsidP="00D46B11">
            <w:pPr>
              <w:pStyle w:val="ListBullet"/>
            </w:pPr>
            <w:r>
              <w:t>Cleaning Services</w:t>
            </w:r>
          </w:p>
          <w:p w:rsidR="00D46B11" w:rsidRDefault="00D46B11" w:rsidP="00D46B11">
            <w:pPr>
              <w:pStyle w:val="ListBullet"/>
            </w:pPr>
            <w:r>
              <w:t>Staging/Equipment/Lighting Hire</w:t>
            </w:r>
          </w:p>
          <w:p w:rsidR="00D46B11" w:rsidRPr="00D46B11" w:rsidRDefault="00D46B11" w:rsidP="00296DC3">
            <w:pPr>
              <w:pStyle w:val="ListBullet"/>
            </w:pPr>
            <w:r>
              <w:t>Office</w:t>
            </w:r>
            <w:r w:rsidR="00296DC3">
              <w:t>-</w:t>
            </w:r>
            <w:r>
              <w:t>Based Event Preparation Activities</w:t>
            </w:r>
          </w:p>
        </w:tc>
      </w:tr>
    </w:tbl>
    <w:p w:rsidR="00667809" w:rsidRDefault="00667809" w:rsidP="00667809">
      <w:r w:rsidRPr="000557FF">
        <w:t xml:space="preserve"> </w:t>
      </w:r>
      <w:r>
        <w:br w:type="page"/>
      </w:r>
    </w:p>
    <w:p w:rsidR="00667809" w:rsidRPr="00D46B11" w:rsidRDefault="00667809" w:rsidP="00667809">
      <w:pPr>
        <w:pStyle w:val="Heading2"/>
        <w:spacing w:after="240"/>
        <w:rPr>
          <w:spacing w:val="-1"/>
        </w:rPr>
      </w:pPr>
      <w:bookmarkStart w:id="18" w:name="_Toc47888208"/>
      <w:r w:rsidRPr="00D46B11">
        <w:rPr>
          <w:spacing w:val="-1"/>
        </w:rPr>
        <w:t>Excluded sources (outside of certification boundary)</w:t>
      </w:r>
      <w:bookmarkEnd w:id="18"/>
    </w:p>
    <w:p w:rsidR="00EB2457" w:rsidRPr="0038482C" w:rsidRDefault="00EB2457" w:rsidP="00EB2457">
      <w:pPr>
        <w:widowControl w:val="0"/>
        <w:spacing w:after="120"/>
        <w:ind w:right="-1"/>
        <w:rPr>
          <w:spacing w:val="-1"/>
          <w:lang w:val="en-US"/>
        </w:rPr>
      </w:pPr>
      <w:r>
        <w:rPr>
          <w:spacing w:val="-1"/>
          <w:lang w:val="en-US"/>
        </w:rPr>
        <w:t>Some</w:t>
      </w:r>
      <w:r w:rsidRPr="0038482C">
        <w:rPr>
          <w:spacing w:val="-1"/>
          <w:lang w:val="en-US"/>
        </w:rPr>
        <w:t xml:space="preserve"> emissions sources have been </w:t>
      </w:r>
      <w:r>
        <w:rPr>
          <w:spacing w:val="-1"/>
          <w:lang w:val="en-US"/>
        </w:rPr>
        <w:t xml:space="preserve">excluded from the Melbourne Music Week boundary as they were determined immaterial or not relevant. The following guiding questions guided this exclusion process. </w:t>
      </w:r>
    </w:p>
    <w:p w:rsidR="00667809" w:rsidRPr="00602BD1" w:rsidRDefault="00667809" w:rsidP="00D46B11">
      <w:pPr>
        <w:pStyle w:val="Heading3"/>
      </w:pPr>
      <w:bookmarkStart w:id="19" w:name="_Toc47888209"/>
      <w:r w:rsidRPr="00602BD1">
        <w:t>Is the emission source deemed one of high-risk to City of Melbourne?</w:t>
      </w:r>
      <w:bookmarkEnd w:id="19"/>
    </w:p>
    <w:p w:rsidR="00667809" w:rsidRPr="00C95D66" w:rsidRDefault="00EB2457" w:rsidP="00C95D66">
      <w:pPr>
        <w:pStyle w:val="BodyText"/>
      </w:pPr>
      <w:r w:rsidRPr="00C95D66">
        <w:t>Emissions sources are deemed to be high risk if there is a high perceived risk to City of Melbourne’s reputation as a result of the emissions source (for example, highly visible impact sources such as marketing materials). Criteria were based on City of Melbourne Moomba and Melbourne Music Week 2015 materiality assessments and are revisited each year during event planning</w:t>
      </w:r>
      <w:r w:rsidR="00667809" w:rsidRPr="00C95D66">
        <w:t xml:space="preserve">. </w:t>
      </w:r>
    </w:p>
    <w:p w:rsidR="00667809" w:rsidRPr="00602BD1" w:rsidRDefault="00667809" w:rsidP="00D46B11">
      <w:pPr>
        <w:pStyle w:val="Heading3"/>
      </w:pPr>
      <w:bookmarkStart w:id="20" w:name="_Toc47888210"/>
      <w:r w:rsidRPr="00602BD1">
        <w:t>Is the emission source of particular value to the event stakeholders?</w:t>
      </w:r>
      <w:bookmarkEnd w:id="20"/>
    </w:p>
    <w:p w:rsidR="00EB2457" w:rsidRPr="00C95D66" w:rsidRDefault="00EB2457" w:rsidP="00C95D66">
      <w:pPr>
        <w:pStyle w:val="BodyText"/>
      </w:pPr>
      <w:r w:rsidRPr="00C95D66">
        <w:t>High value emissions sources are those that may align with values of particular stakeholders, for example reducing construction/production waste may be particularly important to some even though the associated emissions are relatively small. The assessment of each emissions source against this criterion was based on the judgement of the City of Melbourne event management and Climate Change teams for Melbourne Music Week.</w:t>
      </w:r>
    </w:p>
    <w:p w:rsidR="00667809" w:rsidRPr="007B1FE0" w:rsidRDefault="00667809" w:rsidP="00D46B11">
      <w:pPr>
        <w:pStyle w:val="Heading3"/>
      </w:pPr>
      <w:bookmarkStart w:id="21" w:name="_Toc47888211"/>
      <w:r w:rsidRPr="007B1FE0">
        <w:t>Is the combined impact of the emission source significant in quantitative size?</w:t>
      </w:r>
      <w:bookmarkEnd w:id="21"/>
    </w:p>
    <w:p w:rsidR="00EB2457" w:rsidRPr="00C95D66" w:rsidRDefault="00EB2457" w:rsidP="00C95D66">
      <w:pPr>
        <w:pStyle w:val="BodyText"/>
      </w:pPr>
      <w:r w:rsidRPr="00C95D66">
        <w:t xml:space="preserve">The relative contribution of each emissions source to the overall Melbourne Music Week footprint was based on the inventories of each previously measured event. The significance of each emissions source in terms of size was based on this assessment. </w:t>
      </w:r>
    </w:p>
    <w:p w:rsidR="00667809" w:rsidRDefault="00667809" w:rsidP="00D46B11">
      <w:pPr>
        <w:pStyle w:val="Heading1"/>
      </w:pPr>
      <w:bookmarkStart w:id="22" w:name="_Toc47888212"/>
      <w:r w:rsidRPr="00D46B11">
        <w:t>3. Emissions summary</w:t>
      </w:r>
      <w:bookmarkEnd w:id="22"/>
    </w:p>
    <w:p w:rsidR="00D46B11" w:rsidRPr="00D46B11" w:rsidRDefault="00D46B11" w:rsidP="00D46B11">
      <w:pPr>
        <w:pStyle w:val="Heading3"/>
      </w:pPr>
      <w:bookmarkStart w:id="23" w:name="_Toc47888213"/>
      <w:r w:rsidRPr="00D46B11">
        <w:t>Table 3 Emissions Summary</w:t>
      </w:r>
      <w:bookmarkEnd w:id="23"/>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93"/>
        <w:gridCol w:w="1889"/>
        <w:gridCol w:w="1888"/>
      </w:tblGrid>
      <w:tr w:rsidR="00667809" w:rsidRPr="008C6844" w:rsidTr="008C6844">
        <w:trPr>
          <w:trHeight w:hRule="exact" w:val="982"/>
          <w:tblHeader/>
        </w:trPr>
        <w:tc>
          <w:tcPr>
            <w:tcW w:w="5693" w:type="dxa"/>
            <w:shd w:val="clear" w:color="auto" w:fill="D9D9D9" w:themeFill="background1" w:themeFillShade="D9"/>
            <w:vAlign w:val="center"/>
          </w:tcPr>
          <w:p w:rsidR="00667809" w:rsidRPr="008C6844" w:rsidRDefault="00667809" w:rsidP="00667809">
            <w:pPr>
              <w:rPr>
                <w:b/>
                <w:bCs/>
              </w:rPr>
            </w:pPr>
            <w:bookmarkStart w:id="24" w:name="Title_7" w:colFirst="0" w:colLast="0"/>
            <w:r w:rsidRPr="008C6844">
              <w:rPr>
                <w:b/>
                <w:bCs/>
              </w:rPr>
              <w:t xml:space="preserve">Emission source category </w:t>
            </w:r>
          </w:p>
        </w:tc>
        <w:tc>
          <w:tcPr>
            <w:tcW w:w="1889" w:type="dxa"/>
            <w:shd w:val="clear" w:color="auto" w:fill="D9D9D9" w:themeFill="background1" w:themeFillShade="D9"/>
            <w:vAlign w:val="center"/>
          </w:tcPr>
          <w:p w:rsidR="00667809" w:rsidRPr="008C6844" w:rsidRDefault="00667809" w:rsidP="00667809">
            <w:pPr>
              <w:rPr>
                <w:b/>
                <w:bCs/>
              </w:rPr>
            </w:pPr>
            <w:r w:rsidRPr="008C6844">
              <w:rPr>
                <w:b/>
                <w:bCs/>
              </w:rPr>
              <w:t>Pre-event tonnes CO</w:t>
            </w:r>
            <w:r w:rsidRPr="008C6844">
              <w:rPr>
                <w:b/>
                <w:bCs/>
                <w:vertAlign w:val="subscript"/>
              </w:rPr>
              <w:t>2</w:t>
            </w:r>
            <w:r w:rsidRPr="008C6844">
              <w:rPr>
                <w:b/>
                <w:bCs/>
              </w:rPr>
              <w:t>-e</w:t>
            </w:r>
          </w:p>
        </w:tc>
        <w:tc>
          <w:tcPr>
            <w:tcW w:w="1888" w:type="dxa"/>
            <w:shd w:val="clear" w:color="auto" w:fill="D9D9D9" w:themeFill="background1" w:themeFillShade="D9"/>
          </w:tcPr>
          <w:p w:rsidR="00667809" w:rsidRPr="008C6844" w:rsidRDefault="00667809" w:rsidP="00667809">
            <w:pPr>
              <w:rPr>
                <w:b/>
                <w:bCs/>
              </w:rPr>
            </w:pPr>
            <w:r w:rsidRPr="008C6844">
              <w:rPr>
                <w:b/>
                <w:bCs/>
              </w:rPr>
              <w:t>Post-event tonnes CO</w:t>
            </w:r>
            <w:r w:rsidRPr="008C6844">
              <w:rPr>
                <w:b/>
                <w:bCs/>
                <w:vertAlign w:val="subscript"/>
              </w:rPr>
              <w:t>2</w:t>
            </w:r>
            <w:r w:rsidRPr="008C6844">
              <w:rPr>
                <w:b/>
                <w:bCs/>
              </w:rPr>
              <w:t>-e</w:t>
            </w:r>
          </w:p>
        </w:tc>
      </w:tr>
      <w:bookmarkEnd w:id="24"/>
      <w:tr w:rsidR="00EB2457" w:rsidRPr="00A0432B" w:rsidTr="00667809">
        <w:trPr>
          <w:trHeight w:val="410"/>
        </w:trPr>
        <w:tc>
          <w:tcPr>
            <w:tcW w:w="5693" w:type="dxa"/>
            <w:vAlign w:val="bottom"/>
          </w:tcPr>
          <w:p w:rsidR="00EB2457" w:rsidRPr="00E92623" w:rsidRDefault="00EB2457" w:rsidP="00EB2457">
            <w:r w:rsidRPr="007D76C8">
              <w:rPr>
                <w:rFonts w:cs="Arial"/>
                <w:color w:val="000000"/>
              </w:rPr>
              <w:t>Purchased Electricity (GreenPower)</w:t>
            </w:r>
          </w:p>
        </w:tc>
        <w:tc>
          <w:tcPr>
            <w:tcW w:w="1889" w:type="dxa"/>
            <w:vAlign w:val="bottom"/>
          </w:tcPr>
          <w:p w:rsidR="00EB2457" w:rsidRPr="00E92623" w:rsidRDefault="00EB2457" w:rsidP="00EB2457">
            <w:r w:rsidRPr="001D634E">
              <w:rPr>
                <w:rFonts w:cs="Arial"/>
              </w:rPr>
              <w:t>0.00</w:t>
            </w:r>
          </w:p>
        </w:tc>
        <w:tc>
          <w:tcPr>
            <w:tcW w:w="1888" w:type="dxa"/>
            <w:vAlign w:val="bottom"/>
          </w:tcPr>
          <w:p w:rsidR="00EB2457" w:rsidRPr="00E92623" w:rsidRDefault="00EB2457" w:rsidP="00EB2457">
            <w:r w:rsidRPr="007D76C8">
              <w:rPr>
                <w:rFonts w:cs="Arial"/>
                <w:color w:val="000000"/>
              </w:rPr>
              <w:t>0.00</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 xml:space="preserve">Purchased Electricity  </w:t>
            </w:r>
          </w:p>
        </w:tc>
        <w:tc>
          <w:tcPr>
            <w:tcW w:w="1889" w:type="dxa"/>
            <w:vAlign w:val="bottom"/>
          </w:tcPr>
          <w:p w:rsidR="00EB2457" w:rsidRPr="00E92623" w:rsidRDefault="00EB2457" w:rsidP="00EB2457">
            <w:r w:rsidRPr="001D634E">
              <w:rPr>
                <w:rFonts w:cs="Arial"/>
              </w:rPr>
              <w:t>9.53</w:t>
            </w:r>
          </w:p>
        </w:tc>
        <w:tc>
          <w:tcPr>
            <w:tcW w:w="1888" w:type="dxa"/>
            <w:vAlign w:val="bottom"/>
          </w:tcPr>
          <w:p w:rsidR="00EB2457" w:rsidRPr="00E92623" w:rsidRDefault="00EB2457" w:rsidP="00EB2457">
            <w:r w:rsidRPr="007D76C8">
              <w:rPr>
                <w:rFonts w:cs="Arial"/>
                <w:color w:val="000000"/>
              </w:rPr>
              <w:t>10.98</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Purchased Mains Gas</w:t>
            </w:r>
          </w:p>
        </w:tc>
        <w:tc>
          <w:tcPr>
            <w:tcW w:w="1889" w:type="dxa"/>
            <w:vAlign w:val="bottom"/>
          </w:tcPr>
          <w:p w:rsidR="00EB2457" w:rsidRPr="00E92623" w:rsidRDefault="00EB2457" w:rsidP="00EB2457">
            <w:r w:rsidRPr="001D634E">
              <w:rPr>
                <w:rFonts w:cs="Arial"/>
              </w:rPr>
              <w:t>0.56</w:t>
            </w:r>
          </w:p>
        </w:tc>
        <w:tc>
          <w:tcPr>
            <w:tcW w:w="1888" w:type="dxa"/>
            <w:vAlign w:val="bottom"/>
          </w:tcPr>
          <w:p w:rsidR="00EB2457" w:rsidRPr="00E92623" w:rsidRDefault="00EB2457" w:rsidP="00EB2457">
            <w:r w:rsidRPr="007D76C8">
              <w:rPr>
                <w:rFonts w:cs="Arial"/>
                <w:color w:val="000000"/>
              </w:rPr>
              <w:t>0.57</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 xml:space="preserve">Municipal Solid Waste </w:t>
            </w:r>
          </w:p>
        </w:tc>
        <w:tc>
          <w:tcPr>
            <w:tcW w:w="1889" w:type="dxa"/>
            <w:vAlign w:val="bottom"/>
          </w:tcPr>
          <w:p w:rsidR="00EB2457" w:rsidRPr="00E92623" w:rsidRDefault="00EB2457" w:rsidP="00EB2457">
            <w:r w:rsidRPr="001D634E">
              <w:rPr>
                <w:rFonts w:cs="Arial"/>
              </w:rPr>
              <w:t>8.91</w:t>
            </w:r>
          </w:p>
        </w:tc>
        <w:tc>
          <w:tcPr>
            <w:tcW w:w="1888" w:type="dxa"/>
            <w:vAlign w:val="bottom"/>
          </w:tcPr>
          <w:p w:rsidR="00EB2457" w:rsidRPr="00E92623" w:rsidRDefault="00EB2457" w:rsidP="00EB2457">
            <w:r w:rsidRPr="007D76C8">
              <w:rPr>
                <w:rFonts w:cs="Arial"/>
                <w:color w:val="000000"/>
              </w:rPr>
              <w:t>20.49</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Food Waste (to compost/livestock)</w:t>
            </w:r>
          </w:p>
        </w:tc>
        <w:tc>
          <w:tcPr>
            <w:tcW w:w="1889" w:type="dxa"/>
            <w:vAlign w:val="bottom"/>
          </w:tcPr>
          <w:p w:rsidR="00EB2457" w:rsidRPr="00E92623" w:rsidRDefault="00EB2457" w:rsidP="00EB2457">
            <w:r w:rsidRPr="001D634E">
              <w:rPr>
                <w:rFonts w:cs="Arial"/>
              </w:rPr>
              <w:t>0.00</w:t>
            </w:r>
          </w:p>
        </w:tc>
        <w:tc>
          <w:tcPr>
            <w:tcW w:w="1888" w:type="dxa"/>
            <w:vAlign w:val="bottom"/>
          </w:tcPr>
          <w:p w:rsidR="00EB2457" w:rsidRPr="00E92623" w:rsidRDefault="00EB2457" w:rsidP="00EB2457">
            <w:r w:rsidRPr="007D76C8">
              <w:rPr>
                <w:rFonts w:cs="Arial"/>
                <w:color w:val="000000"/>
              </w:rPr>
              <w:t>0.00</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Comingled Recycling</w:t>
            </w:r>
          </w:p>
        </w:tc>
        <w:tc>
          <w:tcPr>
            <w:tcW w:w="1889" w:type="dxa"/>
            <w:vAlign w:val="bottom"/>
          </w:tcPr>
          <w:p w:rsidR="00EB2457" w:rsidRPr="00E92623" w:rsidRDefault="00EB2457" w:rsidP="00EB2457">
            <w:r w:rsidRPr="001D634E">
              <w:rPr>
                <w:rFonts w:cs="Arial"/>
              </w:rPr>
              <w:t>0.00</w:t>
            </w:r>
          </w:p>
        </w:tc>
        <w:tc>
          <w:tcPr>
            <w:tcW w:w="1888" w:type="dxa"/>
            <w:vAlign w:val="bottom"/>
          </w:tcPr>
          <w:p w:rsidR="00EB2457" w:rsidRPr="00E92623" w:rsidRDefault="00EB2457" w:rsidP="00EB2457">
            <w:r w:rsidRPr="007D76C8">
              <w:rPr>
                <w:rFonts w:cs="Arial"/>
                <w:color w:val="000000"/>
              </w:rPr>
              <w:t>0.00</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New Construction Materials</w:t>
            </w:r>
          </w:p>
        </w:tc>
        <w:tc>
          <w:tcPr>
            <w:tcW w:w="1889" w:type="dxa"/>
            <w:vAlign w:val="bottom"/>
          </w:tcPr>
          <w:p w:rsidR="00EB2457" w:rsidRPr="00E92623" w:rsidRDefault="00EB2457" w:rsidP="00EB2457">
            <w:r w:rsidRPr="001D634E">
              <w:rPr>
                <w:rFonts w:cs="Arial"/>
              </w:rPr>
              <w:t>12.44</w:t>
            </w:r>
          </w:p>
        </w:tc>
        <w:tc>
          <w:tcPr>
            <w:tcW w:w="1888" w:type="dxa"/>
            <w:vAlign w:val="bottom"/>
          </w:tcPr>
          <w:p w:rsidR="00EB2457" w:rsidRPr="00E92623" w:rsidRDefault="00EB2457" w:rsidP="00EB2457">
            <w:r w:rsidRPr="007D76C8">
              <w:rPr>
                <w:rFonts w:cs="Arial"/>
                <w:color w:val="000000"/>
              </w:rPr>
              <w:t>11.90</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Marketing</w:t>
            </w:r>
          </w:p>
        </w:tc>
        <w:tc>
          <w:tcPr>
            <w:tcW w:w="1889" w:type="dxa"/>
            <w:vAlign w:val="bottom"/>
          </w:tcPr>
          <w:p w:rsidR="00EB2457" w:rsidRPr="00E92623" w:rsidRDefault="00EB2457" w:rsidP="00EB2457">
            <w:r w:rsidRPr="001D634E">
              <w:rPr>
                <w:rFonts w:cs="Arial"/>
              </w:rPr>
              <w:t>2.00</w:t>
            </w:r>
          </w:p>
        </w:tc>
        <w:tc>
          <w:tcPr>
            <w:tcW w:w="1888" w:type="dxa"/>
            <w:vAlign w:val="bottom"/>
          </w:tcPr>
          <w:p w:rsidR="00EB2457" w:rsidRPr="00E92623" w:rsidRDefault="00EB2457" w:rsidP="00EB2457">
            <w:r w:rsidRPr="007D76C8">
              <w:rPr>
                <w:rFonts w:cs="Arial"/>
                <w:color w:val="000000"/>
              </w:rPr>
              <w:t>1.29</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Air Travel</w:t>
            </w:r>
          </w:p>
        </w:tc>
        <w:tc>
          <w:tcPr>
            <w:tcW w:w="1889" w:type="dxa"/>
            <w:vAlign w:val="bottom"/>
          </w:tcPr>
          <w:p w:rsidR="00EB2457" w:rsidRPr="00E92623" w:rsidRDefault="00EB2457" w:rsidP="00EB2457">
            <w:r w:rsidRPr="001D634E">
              <w:rPr>
                <w:rFonts w:cs="Arial"/>
              </w:rPr>
              <w:t>77.28</w:t>
            </w:r>
          </w:p>
        </w:tc>
        <w:tc>
          <w:tcPr>
            <w:tcW w:w="1888" w:type="dxa"/>
            <w:vAlign w:val="bottom"/>
          </w:tcPr>
          <w:p w:rsidR="00EB2457" w:rsidRPr="00E92623" w:rsidRDefault="00EB2457" w:rsidP="00EB2457">
            <w:r w:rsidRPr="007D76C8">
              <w:rPr>
                <w:rFonts w:cs="Arial"/>
                <w:color w:val="000000"/>
              </w:rPr>
              <w:t>25.38</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Accommodation</w:t>
            </w:r>
          </w:p>
        </w:tc>
        <w:tc>
          <w:tcPr>
            <w:tcW w:w="1889" w:type="dxa"/>
            <w:vAlign w:val="bottom"/>
          </w:tcPr>
          <w:p w:rsidR="00EB2457" w:rsidRPr="00E92623" w:rsidRDefault="00EB2457" w:rsidP="00EB2457">
            <w:r w:rsidRPr="001D634E">
              <w:rPr>
                <w:rFonts w:cs="Arial"/>
              </w:rPr>
              <w:t>25.09</w:t>
            </w:r>
          </w:p>
        </w:tc>
        <w:tc>
          <w:tcPr>
            <w:tcW w:w="1888" w:type="dxa"/>
            <w:vAlign w:val="bottom"/>
          </w:tcPr>
          <w:p w:rsidR="00EB2457" w:rsidRPr="00E92623" w:rsidRDefault="00EB2457" w:rsidP="00EB2457">
            <w:r w:rsidRPr="007D76C8">
              <w:rPr>
                <w:rFonts w:cs="Arial"/>
                <w:color w:val="000000"/>
              </w:rPr>
              <w:t>15.59</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Food</w:t>
            </w:r>
          </w:p>
        </w:tc>
        <w:tc>
          <w:tcPr>
            <w:tcW w:w="1889" w:type="dxa"/>
            <w:vAlign w:val="bottom"/>
          </w:tcPr>
          <w:p w:rsidR="00EB2457" w:rsidRPr="00E92623" w:rsidRDefault="00EB2457" w:rsidP="00EB2457">
            <w:r w:rsidRPr="001D634E">
              <w:rPr>
                <w:rFonts w:cs="Arial"/>
              </w:rPr>
              <w:t>10.64</w:t>
            </w:r>
          </w:p>
        </w:tc>
        <w:tc>
          <w:tcPr>
            <w:tcW w:w="1888" w:type="dxa"/>
            <w:vAlign w:val="bottom"/>
          </w:tcPr>
          <w:p w:rsidR="00EB2457" w:rsidRPr="00E92623" w:rsidRDefault="00EB2457" w:rsidP="00EB2457">
            <w:r w:rsidRPr="007D76C8">
              <w:rPr>
                <w:rFonts w:cs="Arial"/>
                <w:color w:val="000000"/>
              </w:rPr>
              <w:t>11.25</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 xml:space="preserve">Drinks </w:t>
            </w:r>
          </w:p>
        </w:tc>
        <w:tc>
          <w:tcPr>
            <w:tcW w:w="1889" w:type="dxa"/>
            <w:vAlign w:val="bottom"/>
          </w:tcPr>
          <w:p w:rsidR="00EB2457" w:rsidRPr="00E92623" w:rsidRDefault="00EB2457" w:rsidP="00EB2457">
            <w:r w:rsidRPr="001D634E">
              <w:rPr>
                <w:rFonts w:cs="Arial"/>
              </w:rPr>
              <w:t>56.12</w:t>
            </w:r>
          </w:p>
        </w:tc>
        <w:tc>
          <w:tcPr>
            <w:tcW w:w="1888" w:type="dxa"/>
            <w:vAlign w:val="bottom"/>
          </w:tcPr>
          <w:p w:rsidR="00EB2457" w:rsidRPr="00E92623" w:rsidRDefault="00EB2457" w:rsidP="00EB2457">
            <w:r w:rsidRPr="007D76C8">
              <w:rPr>
                <w:rFonts w:cs="Arial"/>
                <w:color w:val="000000"/>
              </w:rPr>
              <w:t>67.56</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 xml:space="preserve">Attendee Travel </w:t>
            </w:r>
          </w:p>
        </w:tc>
        <w:tc>
          <w:tcPr>
            <w:tcW w:w="1889" w:type="dxa"/>
            <w:vAlign w:val="bottom"/>
          </w:tcPr>
          <w:p w:rsidR="00EB2457" w:rsidRPr="00E92623" w:rsidRDefault="00EB2457" w:rsidP="00EB2457">
            <w:r w:rsidRPr="001D634E">
              <w:rPr>
                <w:rFonts w:cs="Arial"/>
              </w:rPr>
              <w:t>41.83</w:t>
            </w:r>
          </w:p>
        </w:tc>
        <w:tc>
          <w:tcPr>
            <w:tcW w:w="1888" w:type="dxa"/>
            <w:vAlign w:val="bottom"/>
          </w:tcPr>
          <w:p w:rsidR="00EB2457" w:rsidRPr="00E92623" w:rsidRDefault="00EB2457" w:rsidP="00EB2457">
            <w:r w:rsidRPr="007D76C8">
              <w:rPr>
                <w:rFonts w:cs="Arial"/>
                <w:color w:val="000000"/>
              </w:rPr>
              <w:t>64.73</w:t>
            </w:r>
          </w:p>
        </w:tc>
      </w:tr>
      <w:tr w:rsidR="00EB2457" w:rsidRPr="00A0432B" w:rsidTr="00667809">
        <w:trPr>
          <w:trHeight w:val="410"/>
        </w:trPr>
        <w:tc>
          <w:tcPr>
            <w:tcW w:w="5693" w:type="dxa"/>
            <w:vAlign w:val="bottom"/>
          </w:tcPr>
          <w:p w:rsidR="00EB2457" w:rsidRPr="00E92623" w:rsidRDefault="00EB2457" w:rsidP="00EB2457">
            <w:r w:rsidRPr="007D76C8">
              <w:rPr>
                <w:rFonts w:cs="Arial"/>
                <w:color w:val="000000"/>
              </w:rPr>
              <w:t>Tier Three Events</w:t>
            </w:r>
          </w:p>
        </w:tc>
        <w:tc>
          <w:tcPr>
            <w:tcW w:w="1889" w:type="dxa"/>
            <w:vAlign w:val="bottom"/>
          </w:tcPr>
          <w:p w:rsidR="00EB2457" w:rsidRPr="00E92623" w:rsidRDefault="00EB2457" w:rsidP="00EB2457">
            <w:r w:rsidRPr="001D634E">
              <w:rPr>
                <w:rFonts w:cs="Arial"/>
              </w:rPr>
              <w:t>44.87</w:t>
            </w:r>
          </w:p>
        </w:tc>
        <w:tc>
          <w:tcPr>
            <w:tcW w:w="1888" w:type="dxa"/>
            <w:vAlign w:val="bottom"/>
          </w:tcPr>
          <w:p w:rsidR="00EB2457" w:rsidRPr="00E92623" w:rsidRDefault="00EB2457" w:rsidP="00EB2457">
            <w:r w:rsidRPr="007D76C8">
              <w:rPr>
                <w:rFonts w:cs="Arial"/>
                <w:color w:val="000000"/>
              </w:rPr>
              <w:t>33.00</w:t>
            </w:r>
          </w:p>
        </w:tc>
      </w:tr>
      <w:tr w:rsidR="00EB2457" w:rsidRPr="00A0432B" w:rsidTr="00EB2457">
        <w:trPr>
          <w:trHeight w:val="897"/>
        </w:trPr>
        <w:tc>
          <w:tcPr>
            <w:tcW w:w="5693" w:type="dxa"/>
            <w:shd w:val="clear" w:color="auto" w:fill="D9D9D9" w:themeFill="background1" w:themeFillShade="D9"/>
            <w:vAlign w:val="center"/>
          </w:tcPr>
          <w:p w:rsidR="00EB2457" w:rsidRPr="00E92623" w:rsidRDefault="00EB2457" w:rsidP="00EB2457">
            <w:r w:rsidRPr="00E92623">
              <w:t xml:space="preserve">Total Net Emissions </w:t>
            </w:r>
          </w:p>
        </w:tc>
        <w:tc>
          <w:tcPr>
            <w:tcW w:w="1889" w:type="dxa"/>
            <w:vAlign w:val="bottom"/>
          </w:tcPr>
          <w:p w:rsidR="00EB2457" w:rsidRPr="00E92623" w:rsidRDefault="00EB2457" w:rsidP="00EB2457">
            <w:r w:rsidRPr="007D76C8">
              <w:rPr>
                <w:rFonts w:cs="Arial"/>
                <w:color w:val="000000"/>
              </w:rPr>
              <w:t>289.28</w:t>
            </w:r>
          </w:p>
        </w:tc>
        <w:tc>
          <w:tcPr>
            <w:tcW w:w="1888" w:type="dxa"/>
            <w:vAlign w:val="bottom"/>
          </w:tcPr>
          <w:p w:rsidR="00EB2457" w:rsidRPr="00E92623" w:rsidRDefault="00EB2457" w:rsidP="00EB2457">
            <w:r w:rsidRPr="007D76C8">
              <w:rPr>
                <w:rFonts w:cs="Arial"/>
                <w:color w:val="000000"/>
              </w:rPr>
              <w:t>262.76</w:t>
            </w:r>
          </w:p>
        </w:tc>
      </w:tr>
    </w:tbl>
    <w:p w:rsidR="00667809" w:rsidRDefault="00667809" w:rsidP="00667809">
      <w:pPr>
        <w:pStyle w:val="Heading2"/>
        <w:rPr>
          <w:spacing w:val="-1"/>
        </w:rPr>
      </w:pPr>
      <w:bookmarkStart w:id="25" w:name="4._Carbon_offsets"/>
      <w:bookmarkStart w:id="26" w:name="_Toc47888214"/>
      <w:bookmarkEnd w:id="25"/>
      <w:r w:rsidRPr="00D46B11">
        <w:rPr>
          <w:spacing w:val="-1"/>
        </w:rPr>
        <w:t>True-up of emissions</w:t>
      </w:r>
      <w:bookmarkEnd w:id="26"/>
      <w:r w:rsidRPr="00D46B11">
        <w:rPr>
          <w:spacing w:val="-1"/>
        </w:rPr>
        <w:t xml:space="preserve"> </w:t>
      </w:r>
    </w:p>
    <w:p w:rsidR="00D46B11" w:rsidRPr="00D46B11" w:rsidRDefault="00D46B11" w:rsidP="00D46B11">
      <w:pPr>
        <w:pStyle w:val="Heading3"/>
      </w:pPr>
      <w:bookmarkStart w:id="27" w:name="_Toc47888215"/>
      <w:r w:rsidRPr="008B64AA">
        <w:t>Table 4 True up of emissions</w:t>
      </w:r>
      <w:bookmarkEnd w:id="27"/>
    </w:p>
    <w:tbl>
      <w:tblPr>
        <w:tblStyle w:val="TableGrid"/>
        <w:tblW w:w="0" w:type="auto"/>
        <w:tblLook w:val="04A0" w:firstRow="1" w:lastRow="0" w:firstColumn="1" w:lastColumn="0" w:noHBand="0" w:noVBand="1"/>
      </w:tblPr>
      <w:tblGrid>
        <w:gridCol w:w="4814"/>
        <w:gridCol w:w="4814"/>
      </w:tblGrid>
      <w:tr w:rsidR="00EB2457" w:rsidTr="00EB2457">
        <w:tc>
          <w:tcPr>
            <w:tcW w:w="4814" w:type="dxa"/>
            <w:shd w:val="clear" w:color="auto" w:fill="D9D9D9" w:themeFill="background1" w:themeFillShade="D9"/>
          </w:tcPr>
          <w:p w:rsidR="00EB2457" w:rsidRPr="002D1EF3" w:rsidRDefault="00EB2457" w:rsidP="00EB2457">
            <w:pPr>
              <w:spacing w:after="160" w:line="259" w:lineRule="auto"/>
            </w:pPr>
            <w:bookmarkStart w:id="28" w:name="RowTitle_8" w:colFirst="0" w:colLast="0"/>
            <w:r w:rsidRPr="002D1EF3">
              <w:t xml:space="preserve">Total tCO2-e in pre event report </w:t>
            </w:r>
          </w:p>
        </w:tc>
        <w:tc>
          <w:tcPr>
            <w:tcW w:w="4814" w:type="dxa"/>
            <w:vAlign w:val="bottom"/>
          </w:tcPr>
          <w:p w:rsidR="00EB2457" w:rsidRPr="002D1EF3" w:rsidRDefault="00EB2457" w:rsidP="00EB2457">
            <w:pPr>
              <w:widowControl w:val="0"/>
              <w:spacing w:after="120"/>
              <w:ind w:right="-1"/>
              <w:rPr>
                <w:spacing w:val="-1"/>
                <w:lang w:val="en-US"/>
              </w:rPr>
            </w:pPr>
            <w:r>
              <w:rPr>
                <w:rFonts w:cs="Arial"/>
                <w:color w:val="000000"/>
              </w:rPr>
              <w:t>289.28</w:t>
            </w:r>
          </w:p>
        </w:tc>
      </w:tr>
      <w:tr w:rsidR="00EB2457" w:rsidTr="00667809">
        <w:trPr>
          <w:trHeight w:val="50"/>
        </w:trPr>
        <w:tc>
          <w:tcPr>
            <w:tcW w:w="4814" w:type="dxa"/>
            <w:shd w:val="clear" w:color="auto" w:fill="D9D9D9" w:themeFill="background1" w:themeFillShade="D9"/>
          </w:tcPr>
          <w:p w:rsidR="00EB2457" w:rsidRPr="002D1EF3" w:rsidRDefault="00EB2457" w:rsidP="00EB2457">
            <w:pPr>
              <w:spacing w:after="160" w:line="259" w:lineRule="auto"/>
            </w:pPr>
            <w:r w:rsidRPr="002D1EF3">
              <w:t>Total tCO2-e in post event report</w:t>
            </w:r>
          </w:p>
        </w:tc>
        <w:tc>
          <w:tcPr>
            <w:tcW w:w="4814" w:type="dxa"/>
          </w:tcPr>
          <w:p w:rsidR="00EB2457" w:rsidRPr="002D1EF3" w:rsidRDefault="00EB2457" w:rsidP="00EB2457">
            <w:pPr>
              <w:widowControl w:val="0"/>
              <w:spacing w:after="120"/>
              <w:ind w:right="-1"/>
              <w:rPr>
                <w:spacing w:val="-1"/>
                <w:lang w:val="en-US"/>
              </w:rPr>
            </w:pPr>
            <w:r w:rsidRPr="007D76C8">
              <w:rPr>
                <w:rFonts w:cs="Arial"/>
                <w:color w:val="000000"/>
              </w:rPr>
              <w:t>262.76</w:t>
            </w:r>
          </w:p>
        </w:tc>
      </w:tr>
      <w:tr w:rsidR="00EB2457" w:rsidTr="00667809">
        <w:tc>
          <w:tcPr>
            <w:tcW w:w="4814" w:type="dxa"/>
            <w:shd w:val="clear" w:color="auto" w:fill="D9D9D9" w:themeFill="background1" w:themeFillShade="D9"/>
          </w:tcPr>
          <w:p w:rsidR="00EB2457" w:rsidRPr="008F67B9" w:rsidRDefault="00EB2457" w:rsidP="00EB2457">
            <w:pPr>
              <w:spacing w:after="160" w:line="259" w:lineRule="auto"/>
            </w:pPr>
            <w:r>
              <w:t xml:space="preserve">True-up (total post event minus total pre event) </w:t>
            </w:r>
          </w:p>
        </w:tc>
        <w:tc>
          <w:tcPr>
            <w:tcW w:w="4814" w:type="dxa"/>
          </w:tcPr>
          <w:p w:rsidR="00EB2457" w:rsidRPr="002D1EF3" w:rsidRDefault="00EB2457" w:rsidP="00EB2457">
            <w:pPr>
              <w:widowControl w:val="0"/>
              <w:spacing w:after="120"/>
              <w:ind w:right="-1"/>
              <w:rPr>
                <w:spacing w:val="-1"/>
                <w:lang w:val="en-US"/>
              </w:rPr>
            </w:pPr>
            <w:r w:rsidRPr="007D76C8">
              <w:rPr>
                <w:spacing w:val="-1"/>
                <w:lang w:val="en-US"/>
              </w:rPr>
              <w:t>-</w:t>
            </w:r>
            <w:r>
              <w:rPr>
                <w:spacing w:val="-1"/>
                <w:lang w:val="en-US"/>
              </w:rPr>
              <w:t>26.52</w:t>
            </w:r>
          </w:p>
        </w:tc>
      </w:tr>
      <w:bookmarkEnd w:id="28"/>
    </w:tbl>
    <w:p w:rsidR="00D46B11" w:rsidRDefault="00D46B11">
      <w:pPr>
        <w:spacing w:before="0" w:after="0" w:line="240" w:lineRule="auto"/>
        <w:rPr>
          <w:rFonts w:ascii="Arial Bold" w:eastAsia="MS Gothic" w:hAnsi="Arial Bold"/>
          <w:bCs/>
          <w:spacing w:val="-1"/>
          <w:sz w:val="24"/>
          <w:szCs w:val="26"/>
          <w:lang w:val="en-US"/>
        </w:rPr>
      </w:pPr>
      <w:r>
        <w:rPr>
          <w:spacing w:val="-1"/>
        </w:rPr>
        <w:br w:type="page"/>
      </w:r>
    </w:p>
    <w:p w:rsidR="00667809" w:rsidRPr="00D46B11" w:rsidRDefault="00667809" w:rsidP="00667809">
      <w:pPr>
        <w:pStyle w:val="Heading2"/>
        <w:rPr>
          <w:spacing w:val="-1"/>
        </w:rPr>
      </w:pPr>
      <w:bookmarkStart w:id="29" w:name="_Toc47888216"/>
      <w:r w:rsidRPr="00D46B11">
        <w:rPr>
          <w:spacing w:val="-1"/>
        </w:rPr>
        <w:t>Carbon Neutral products</w:t>
      </w:r>
      <w:bookmarkEnd w:id="29"/>
    </w:p>
    <w:p w:rsidR="00667809" w:rsidRDefault="00667809" w:rsidP="00D46B11">
      <w:pPr>
        <w:widowControl w:val="0"/>
        <w:spacing w:after="120" w:line="240" w:lineRule="auto"/>
        <w:ind w:right="-1"/>
      </w:pPr>
      <w:r w:rsidRPr="00676F53">
        <w:t xml:space="preserve">Nil </w:t>
      </w:r>
    </w:p>
    <w:p w:rsidR="00667809" w:rsidRPr="00D46B11" w:rsidRDefault="00667809" w:rsidP="00667809">
      <w:pPr>
        <w:pStyle w:val="Heading2"/>
        <w:rPr>
          <w:spacing w:val="-1"/>
        </w:rPr>
      </w:pPr>
      <w:bookmarkStart w:id="30" w:name="_Toc47888217"/>
      <w:r w:rsidRPr="00D46B11">
        <w:rPr>
          <w:spacing w:val="-1"/>
        </w:rPr>
        <w:t>Electricity Summary</w:t>
      </w:r>
      <w:bookmarkEnd w:id="30"/>
    </w:p>
    <w:p w:rsidR="00D46B11" w:rsidRPr="008B64AA" w:rsidRDefault="00D46B11" w:rsidP="00D46B11">
      <w:pPr>
        <w:pStyle w:val="Heading3"/>
        <w:rPr>
          <w:b/>
          <w:color w:val="4F81BD" w:themeColor="accent1"/>
        </w:rPr>
      </w:pPr>
      <w:bookmarkStart w:id="31" w:name="_Toc47888218"/>
      <w:r>
        <w:t>Table 5</w:t>
      </w:r>
      <w:r w:rsidRPr="007F354A">
        <w:t xml:space="preserve"> Location-based summary</w:t>
      </w:r>
      <w:bookmarkEnd w:id="31"/>
    </w:p>
    <w:tbl>
      <w:tblPr>
        <w:tblW w:w="9198" w:type="dxa"/>
        <w:tblLook w:val="04A0" w:firstRow="1" w:lastRow="0" w:firstColumn="1" w:lastColumn="0" w:noHBand="0" w:noVBand="1"/>
      </w:tblPr>
      <w:tblGrid>
        <w:gridCol w:w="1092"/>
        <w:gridCol w:w="4571"/>
        <w:gridCol w:w="996"/>
        <w:gridCol w:w="1184"/>
        <w:gridCol w:w="1355"/>
      </w:tblGrid>
      <w:tr w:rsidR="00667809" w:rsidRPr="00417A0F" w:rsidTr="00902EE8">
        <w:trPr>
          <w:trHeight w:val="1170"/>
          <w:tblHeader/>
        </w:trPr>
        <w:tc>
          <w:tcPr>
            <w:tcW w:w="1092" w:type="dxa"/>
            <w:tcBorders>
              <w:top w:val="single" w:sz="8" w:space="0" w:color="auto"/>
              <w:left w:val="single" w:sz="8" w:space="0" w:color="auto"/>
              <w:bottom w:val="single" w:sz="8" w:space="0" w:color="auto"/>
              <w:right w:val="nil"/>
            </w:tcBorders>
            <w:shd w:val="clear" w:color="000000" w:fill="DDEBF7"/>
            <w:hideMark/>
          </w:tcPr>
          <w:p w:rsidR="00667809" w:rsidRPr="00417A0F" w:rsidRDefault="00667809" w:rsidP="00667809">
            <w:pPr>
              <w:spacing w:after="0" w:line="240" w:lineRule="auto"/>
              <w:jc w:val="center"/>
              <w:rPr>
                <w:rFonts w:ascii="Calibri" w:eastAsia="Times New Roman" w:hAnsi="Calibri" w:cs="Calibri"/>
                <w:b/>
                <w:bCs/>
                <w:color w:val="000000"/>
                <w:lang w:eastAsia="en-AU"/>
              </w:rPr>
            </w:pPr>
            <w:bookmarkStart w:id="32" w:name="Title_9" w:colFirst="0" w:colLast="0"/>
            <w:r w:rsidRPr="00417A0F">
              <w:rPr>
                <w:rFonts w:ascii="Calibri" w:eastAsia="Times New Roman" w:hAnsi="Calibri" w:cs="Calibri"/>
                <w:b/>
                <w:bCs/>
                <w:color w:val="000000"/>
                <w:lang w:eastAsia="en-AU"/>
              </w:rPr>
              <w:t>State/ Territory</w:t>
            </w:r>
          </w:p>
        </w:tc>
        <w:tc>
          <w:tcPr>
            <w:tcW w:w="4571" w:type="dxa"/>
            <w:tcBorders>
              <w:top w:val="single" w:sz="8" w:space="0" w:color="auto"/>
              <w:left w:val="single" w:sz="8" w:space="0" w:color="auto"/>
              <w:bottom w:val="single" w:sz="8" w:space="0" w:color="auto"/>
              <w:right w:val="nil"/>
            </w:tcBorders>
            <w:shd w:val="clear" w:color="000000" w:fill="DDEBF7"/>
            <w:noWrap/>
            <w:hideMark/>
          </w:tcPr>
          <w:p w:rsidR="00667809" w:rsidRPr="00417A0F" w:rsidRDefault="00667809" w:rsidP="00667809">
            <w:pPr>
              <w:spacing w:after="0" w:line="240" w:lineRule="auto"/>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Electricity Inventory items</w:t>
            </w:r>
          </w:p>
        </w:tc>
        <w:tc>
          <w:tcPr>
            <w:tcW w:w="996" w:type="dxa"/>
            <w:tcBorders>
              <w:top w:val="single" w:sz="8" w:space="0" w:color="auto"/>
              <w:left w:val="single" w:sz="8" w:space="0" w:color="auto"/>
              <w:bottom w:val="single" w:sz="8" w:space="0" w:color="auto"/>
              <w:right w:val="nil"/>
            </w:tcBorders>
            <w:shd w:val="clear" w:color="000000" w:fill="DDEBF7"/>
            <w:noWrap/>
            <w:hideMark/>
          </w:tcPr>
          <w:p w:rsidR="00667809" w:rsidRPr="00417A0F" w:rsidRDefault="00667809" w:rsidP="00667809">
            <w:pPr>
              <w:spacing w:after="0" w:line="240" w:lineRule="auto"/>
              <w:jc w:val="right"/>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kWh</w:t>
            </w:r>
          </w:p>
        </w:tc>
        <w:tc>
          <w:tcPr>
            <w:tcW w:w="1184" w:type="dxa"/>
            <w:tcBorders>
              <w:top w:val="single" w:sz="8" w:space="0" w:color="auto"/>
              <w:left w:val="nil"/>
              <w:bottom w:val="single" w:sz="8" w:space="0" w:color="auto"/>
              <w:right w:val="nil"/>
            </w:tcBorders>
            <w:shd w:val="clear" w:color="000000" w:fill="AEAAAA"/>
            <w:hideMark/>
          </w:tcPr>
          <w:p w:rsidR="00667809" w:rsidRPr="00417A0F" w:rsidRDefault="00667809" w:rsidP="00EA29B9">
            <w:pPr>
              <w:spacing w:after="0" w:line="240" w:lineRule="auto"/>
              <w:ind w:firstLineChars="100" w:firstLine="201"/>
              <w:jc w:val="right"/>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Full Emission factor (Scope 2 +3)</w:t>
            </w:r>
          </w:p>
        </w:tc>
        <w:tc>
          <w:tcPr>
            <w:tcW w:w="1355" w:type="dxa"/>
            <w:tcBorders>
              <w:top w:val="single" w:sz="8" w:space="0" w:color="auto"/>
              <w:left w:val="nil"/>
              <w:bottom w:val="single" w:sz="8" w:space="0" w:color="auto"/>
              <w:right w:val="single" w:sz="8" w:space="0" w:color="auto"/>
            </w:tcBorders>
            <w:shd w:val="clear" w:color="000000" w:fill="DDEBF7"/>
            <w:hideMark/>
          </w:tcPr>
          <w:p w:rsidR="00667809" w:rsidRPr="00417A0F" w:rsidRDefault="00667809" w:rsidP="00EA29B9">
            <w:pPr>
              <w:spacing w:after="0" w:line="240" w:lineRule="auto"/>
              <w:ind w:firstLineChars="100" w:firstLine="201"/>
              <w:jc w:val="right"/>
              <w:rPr>
                <w:rFonts w:ascii="Calibri" w:eastAsia="Times New Roman" w:hAnsi="Calibri" w:cs="Calibri"/>
                <w:b/>
                <w:bCs/>
                <w:color w:val="000000"/>
                <w:lang w:eastAsia="en-AU"/>
              </w:rPr>
            </w:pPr>
            <w:r w:rsidRPr="00417A0F">
              <w:rPr>
                <w:rFonts w:ascii="Calibri" w:eastAsia="Times New Roman" w:hAnsi="Calibri" w:cs="Calibri"/>
                <w:b/>
                <w:bCs/>
                <w:color w:val="000000"/>
                <w:lang w:eastAsia="en-AU"/>
              </w:rPr>
              <w:t xml:space="preserve">Emissions </w:t>
            </w:r>
            <w:r w:rsidRPr="00417A0F">
              <w:rPr>
                <w:rFonts w:ascii="Calibri" w:eastAsia="Times New Roman" w:hAnsi="Calibri" w:cs="Calibri"/>
                <w:b/>
                <w:bCs/>
                <w:color w:val="000000"/>
                <w:lang w:eastAsia="en-AU"/>
              </w:rPr>
              <w:br/>
              <w:t>(tonnes CO2e)</w:t>
            </w:r>
          </w:p>
        </w:tc>
      </w:tr>
      <w:bookmarkEnd w:id="32"/>
      <w:tr w:rsidR="00CE5833" w:rsidRPr="00417A0F" w:rsidTr="00667809">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Electricity Renewables</w:t>
            </w:r>
          </w:p>
        </w:tc>
        <w:tc>
          <w:tcPr>
            <w:tcW w:w="996" w:type="dxa"/>
            <w:tcBorders>
              <w:top w:val="nil"/>
              <w:left w:val="nil"/>
              <w:bottom w:val="dotDash" w:sz="8" w:space="0" w:color="4472C4"/>
              <w:right w:val="nil"/>
            </w:tcBorders>
            <w:shd w:val="clear" w:color="000000" w:fill="8EA9DB"/>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8448</w:t>
            </w:r>
          </w:p>
        </w:tc>
        <w:tc>
          <w:tcPr>
            <w:tcW w:w="1184" w:type="dxa"/>
            <w:tcBorders>
              <w:top w:val="nil"/>
              <w:left w:val="nil"/>
              <w:bottom w:val="dotDash" w:sz="8" w:space="0" w:color="4472C4"/>
              <w:right w:val="nil"/>
            </w:tcBorders>
            <w:shd w:val="clear" w:color="000000" w:fill="E7E6E6"/>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-1.12 </w:t>
            </w:r>
          </w:p>
        </w:tc>
        <w:tc>
          <w:tcPr>
            <w:tcW w:w="1355" w:type="dxa"/>
            <w:tcBorders>
              <w:top w:val="nil"/>
              <w:left w:val="nil"/>
              <w:bottom w:val="dotDash" w:sz="8" w:space="0" w:color="4472C4"/>
              <w:right w:val="single" w:sz="8" w:space="0" w:color="auto"/>
            </w:tcBorders>
            <w:shd w:val="clear" w:color="000000" w:fill="8EA9DB"/>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r>
      <w:tr w:rsidR="00CE5833" w:rsidRPr="00417A0F" w:rsidTr="00CE5833">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Electricity Carbon Neutral Power</w:t>
            </w:r>
          </w:p>
        </w:tc>
        <w:tc>
          <w:tcPr>
            <w:tcW w:w="996" w:type="dxa"/>
            <w:tcBorders>
              <w:top w:val="nil"/>
              <w:left w:val="nil"/>
              <w:bottom w:val="dotDash" w:sz="8" w:space="0" w:color="4472C4"/>
              <w:right w:val="nil"/>
            </w:tcBorders>
            <w:shd w:val="clear" w:color="000000" w:fill="8EA9DB"/>
            <w:noWrap/>
            <w:vAlign w:val="bottom"/>
            <w:hideMark/>
          </w:tcPr>
          <w:p w:rsidR="00CE5833" w:rsidRPr="00417A0F" w:rsidRDefault="00CE5833" w:rsidP="00CE583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1184" w:type="dxa"/>
            <w:tcBorders>
              <w:top w:val="nil"/>
              <w:left w:val="nil"/>
              <w:bottom w:val="dotDash" w:sz="8" w:space="0" w:color="4472C4"/>
              <w:right w:val="nil"/>
            </w:tcBorders>
            <w:shd w:val="clear" w:color="000000" w:fill="E7E6E6"/>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-1.12 </w:t>
            </w:r>
          </w:p>
        </w:tc>
        <w:tc>
          <w:tcPr>
            <w:tcW w:w="1355" w:type="dxa"/>
            <w:tcBorders>
              <w:top w:val="nil"/>
              <w:left w:val="nil"/>
              <w:bottom w:val="dotDash" w:sz="8" w:space="0" w:color="4472C4"/>
              <w:right w:val="single" w:sz="8" w:space="0" w:color="auto"/>
            </w:tcBorders>
            <w:shd w:val="clear" w:color="000000" w:fill="8EA9DB"/>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r>
      <w:tr w:rsidR="00CE5833" w:rsidRPr="00417A0F" w:rsidTr="00CE5833">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Netted off (exported on-site generation)</w:t>
            </w:r>
          </w:p>
        </w:tc>
        <w:tc>
          <w:tcPr>
            <w:tcW w:w="996" w:type="dxa"/>
            <w:tcBorders>
              <w:top w:val="nil"/>
              <w:left w:val="nil"/>
              <w:bottom w:val="dotDash" w:sz="8" w:space="0" w:color="4472C4"/>
              <w:right w:val="nil"/>
            </w:tcBorders>
            <w:shd w:val="clear" w:color="000000" w:fill="8EA9DB"/>
            <w:noWrap/>
            <w:vAlign w:val="bottom"/>
            <w:hideMark/>
          </w:tcPr>
          <w:p w:rsidR="00CE5833" w:rsidRPr="00417A0F" w:rsidRDefault="00CE5833" w:rsidP="00CE5833">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0</w:t>
            </w:r>
          </w:p>
        </w:tc>
        <w:tc>
          <w:tcPr>
            <w:tcW w:w="1184" w:type="dxa"/>
            <w:tcBorders>
              <w:top w:val="nil"/>
              <w:left w:val="nil"/>
              <w:bottom w:val="dotDash" w:sz="8" w:space="0" w:color="4472C4"/>
              <w:right w:val="nil"/>
            </w:tcBorders>
            <w:shd w:val="clear" w:color="000000" w:fill="E7E6E6"/>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-1.02 </w:t>
            </w:r>
          </w:p>
        </w:tc>
        <w:tc>
          <w:tcPr>
            <w:tcW w:w="1355" w:type="dxa"/>
            <w:tcBorders>
              <w:top w:val="nil"/>
              <w:left w:val="nil"/>
              <w:bottom w:val="dotDash" w:sz="8" w:space="0" w:color="4472C4"/>
              <w:right w:val="single" w:sz="8" w:space="0" w:color="auto"/>
            </w:tcBorders>
            <w:shd w:val="clear" w:color="000000" w:fill="8EA9DB"/>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r>
      <w:tr w:rsidR="00CE5833" w:rsidRPr="00417A0F" w:rsidTr="00667809">
        <w:trPr>
          <w:trHeight w:val="300"/>
        </w:trPr>
        <w:tc>
          <w:tcPr>
            <w:tcW w:w="1092" w:type="dxa"/>
            <w:tcBorders>
              <w:top w:val="single" w:sz="4" w:space="0" w:color="auto"/>
              <w:left w:val="single" w:sz="8" w:space="0" w:color="auto"/>
              <w:bottom w:val="single" w:sz="4" w:space="0" w:color="auto"/>
              <w:right w:val="single" w:sz="12" w:space="0" w:color="auto"/>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Vic</w:t>
            </w:r>
          </w:p>
        </w:tc>
        <w:tc>
          <w:tcPr>
            <w:tcW w:w="4571" w:type="dxa"/>
            <w:tcBorders>
              <w:top w:val="single" w:sz="4" w:space="0" w:color="auto"/>
              <w:left w:val="single" w:sz="12" w:space="0" w:color="auto"/>
              <w:bottom w:val="single" w:sz="4" w:space="0" w:color="auto"/>
              <w:right w:val="single" w:sz="12" w:space="0" w:color="000000"/>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Electricity Total</w:t>
            </w:r>
          </w:p>
        </w:tc>
        <w:tc>
          <w:tcPr>
            <w:tcW w:w="996" w:type="dxa"/>
            <w:tcBorders>
              <w:top w:val="nil"/>
              <w:left w:val="nil"/>
              <w:bottom w:val="dotDash" w:sz="8" w:space="0" w:color="4472C4"/>
              <w:right w:val="nil"/>
            </w:tcBorders>
            <w:shd w:val="clear" w:color="000000" w:fill="8EA9DB"/>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 18,292</w:t>
            </w:r>
          </w:p>
        </w:tc>
        <w:tc>
          <w:tcPr>
            <w:tcW w:w="1184" w:type="dxa"/>
            <w:tcBorders>
              <w:top w:val="nil"/>
              <w:left w:val="nil"/>
              <w:bottom w:val="dotDash" w:sz="8" w:space="0" w:color="4472C4"/>
              <w:right w:val="nil"/>
            </w:tcBorders>
            <w:shd w:val="clear" w:color="000000" w:fill="E7E6E6"/>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1.12 </w:t>
            </w:r>
          </w:p>
        </w:tc>
        <w:tc>
          <w:tcPr>
            <w:tcW w:w="1355" w:type="dxa"/>
            <w:tcBorders>
              <w:top w:val="nil"/>
              <w:left w:val="nil"/>
              <w:bottom w:val="dotDash" w:sz="8" w:space="0" w:color="4472C4"/>
              <w:right w:val="single" w:sz="8" w:space="0" w:color="auto"/>
            </w:tcBorders>
            <w:shd w:val="clear" w:color="000000" w:fill="8EA9DB"/>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20.5</w:t>
            </w:r>
            <w:r w:rsidRPr="00417A0F">
              <w:rPr>
                <w:rFonts w:ascii="Calibri" w:eastAsia="Times New Roman" w:hAnsi="Calibri" w:cs="Calibri"/>
                <w:color w:val="000000"/>
                <w:lang w:eastAsia="en-AU"/>
              </w:rPr>
              <w:t xml:space="preserve"> </w:t>
            </w:r>
          </w:p>
        </w:tc>
      </w:tr>
      <w:tr w:rsidR="00CE5833" w:rsidRPr="00417A0F" w:rsidTr="00667809">
        <w:trPr>
          <w:trHeight w:val="300"/>
        </w:trPr>
        <w:tc>
          <w:tcPr>
            <w:tcW w:w="1092" w:type="dxa"/>
            <w:tcBorders>
              <w:top w:val="single" w:sz="4" w:space="0" w:color="auto"/>
              <w:left w:val="single" w:sz="8" w:space="0" w:color="auto"/>
              <w:bottom w:val="single" w:sz="8" w:space="0" w:color="auto"/>
              <w:right w:val="single" w:sz="12" w:space="0" w:color="auto"/>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 </w:t>
            </w:r>
          </w:p>
        </w:tc>
        <w:tc>
          <w:tcPr>
            <w:tcW w:w="4571" w:type="dxa"/>
            <w:tcBorders>
              <w:top w:val="single" w:sz="4" w:space="0" w:color="auto"/>
              <w:left w:val="nil"/>
              <w:bottom w:val="single" w:sz="8" w:space="0" w:color="auto"/>
              <w:right w:val="single" w:sz="12" w:space="0" w:color="000000"/>
            </w:tcBorders>
            <w:shd w:val="clear" w:color="000000" w:fill="DDEBF7"/>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Total net electricity emissions (Location based)</w:t>
            </w:r>
          </w:p>
        </w:tc>
        <w:tc>
          <w:tcPr>
            <w:tcW w:w="996" w:type="dxa"/>
            <w:tcBorders>
              <w:top w:val="nil"/>
              <w:left w:val="nil"/>
              <w:bottom w:val="single" w:sz="8" w:space="0" w:color="auto"/>
              <w:right w:val="nil"/>
            </w:tcBorders>
            <w:shd w:val="clear" w:color="000000" w:fill="E7E6E6"/>
            <w:noWrap/>
            <w:vAlign w:val="bottom"/>
            <w:hideMark/>
          </w:tcPr>
          <w:p w:rsidR="00CE5833" w:rsidRPr="00417A0F" w:rsidRDefault="00CE5833" w:rsidP="00CE5833">
            <w:pPr>
              <w:spacing w:after="0" w:line="240" w:lineRule="auto"/>
              <w:rPr>
                <w:rFonts w:ascii="Calibri" w:eastAsia="Times New Roman" w:hAnsi="Calibri" w:cs="Calibri"/>
                <w:color w:val="000000"/>
                <w:lang w:eastAsia="en-AU"/>
              </w:rPr>
            </w:pPr>
            <w:r w:rsidRPr="00417A0F">
              <w:rPr>
                <w:rFonts w:ascii="Calibri" w:eastAsia="Times New Roman" w:hAnsi="Calibri" w:cs="Calibri"/>
                <w:color w:val="000000"/>
                <w:lang w:eastAsia="en-AU"/>
              </w:rPr>
              <w:t> </w:t>
            </w:r>
          </w:p>
        </w:tc>
        <w:tc>
          <w:tcPr>
            <w:tcW w:w="1184" w:type="dxa"/>
            <w:tcBorders>
              <w:top w:val="nil"/>
              <w:left w:val="nil"/>
              <w:bottom w:val="single" w:sz="8" w:space="0" w:color="auto"/>
              <w:right w:val="nil"/>
            </w:tcBorders>
            <w:shd w:val="clear" w:color="000000" w:fill="E7E6E6"/>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sidRPr="00417A0F">
              <w:rPr>
                <w:rFonts w:ascii="Calibri" w:eastAsia="Times New Roman" w:hAnsi="Calibri" w:cs="Calibri"/>
                <w:color w:val="000000"/>
                <w:lang w:eastAsia="en-AU"/>
              </w:rPr>
              <w:t xml:space="preserve">0.00 </w:t>
            </w:r>
          </w:p>
        </w:tc>
        <w:tc>
          <w:tcPr>
            <w:tcW w:w="1355" w:type="dxa"/>
            <w:tcBorders>
              <w:top w:val="nil"/>
              <w:left w:val="nil"/>
              <w:bottom w:val="single" w:sz="8" w:space="0" w:color="auto"/>
              <w:right w:val="single" w:sz="8" w:space="0" w:color="auto"/>
            </w:tcBorders>
            <w:shd w:val="clear" w:color="000000" w:fill="CC99FF"/>
            <w:noWrap/>
            <w:vAlign w:val="bottom"/>
            <w:hideMark/>
          </w:tcPr>
          <w:p w:rsidR="00CE5833" w:rsidRPr="00417A0F" w:rsidRDefault="00CE5833" w:rsidP="00CE5833">
            <w:pPr>
              <w:spacing w:after="0" w:line="240" w:lineRule="auto"/>
              <w:jc w:val="right"/>
              <w:rPr>
                <w:rFonts w:ascii="Calibri" w:eastAsia="Times New Roman" w:hAnsi="Calibri" w:cs="Calibri"/>
                <w:color w:val="000000"/>
                <w:lang w:eastAsia="en-AU"/>
              </w:rPr>
            </w:pPr>
            <w:r>
              <w:rPr>
                <w:rFonts w:ascii="Calibri" w:eastAsia="Times New Roman" w:hAnsi="Calibri" w:cs="Calibri"/>
                <w:color w:val="000000"/>
                <w:lang w:eastAsia="en-AU"/>
              </w:rPr>
              <w:t>9.5</w:t>
            </w:r>
            <w:r w:rsidRPr="00417A0F">
              <w:rPr>
                <w:rFonts w:ascii="Calibri" w:eastAsia="Times New Roman" w:hAnsi="Calibri" w:cs="Calibri"/>
                <w:color w:val="000000"/>
                <w:lang w:eastAsia="en-AU"/>
              </w:rPr>
              <w:t xml:space="preserve"> </w:t>
            </w:r>
          </w:p>
        </w:tc>
      </w:tr>
    </w:tbl>
    <w:p w:rsidR="00667809" w:rsidRPr="00524A3F" w:rsidRDefault="00667809" w:rsidP="00667809">
      <w:pPr>
        <w:widowControl w:val="0"/>
        <w:spacing w:after="120" w:line="240" w:lineRule="auto"/>
        <w:ind w:right="-1"/>
        <w:rPr>
          <w:color w:val="4F81BD" w:themeColor="accent1"/>
        </w:rPr>
        <w:sectPr w:rsidR="00667809" w:rsidRPr="00524A3F" w:rsidSect="00667809">
          <w:headerReference w:type="default" r:id="rId12"/>
          <w:footerReference w:type="default" r:id="rId13"/>
          <w:footerReference w:type="first" r:id="rId14"/>
          <w:pgSz w:w="11906" w:h="16838" w:code="9"/>
          <w:pgMar w:top="1134" w:right="1134" w:bottom="1134" w:left="1134" w:header="709" w:footer="709" w:gutter="0"/>
          <w:cols w:space="708"/>
          <w:titlePg/>
          <w:docGrid w:linePitch="360"/>
        </w:sectPr>
      </w:pPr>
    </w:p>
    <w:p w:rsidR="00667809" w:rsidRDefault="00667809" w:rsidP="00667809">
      <w:pPr>
        <w:pStyle w:val="Heading2"/>
        <w:rPr>
          <w:spacing w:val="-1"/>
          <w:u w:val="single"/>
        </w:rPr>
      </w:pPr>
      <w:bookmarkStart w:id="33" w:name="_Toc47888219"/>
      <w:r w:rsidRPr="008F67B9">
        <w:rPr>
          <w:spacing w:val="-1"/>
          <w:u w:val="single"/>
        </w:rPr>
        <w:t>Data collection of significant emissions</w:t>
      </w:r>
      <w:bookmarkEnd w:id="33"/>
      <w:r w:rsidRPr="008F67B9">
        <w:rPr>
          <w:spacing w:val="-1"/>
          <w:u w:val="single"/>
        </w:rPr>
        <w:t xml:space="preserve"> </w:t>
      </w:r>
    </w:p>
    <w:p w:rsidR="00D46B11" w:rsidRPr="00D46B11" w:rsidRDefault="00D46B11" w:rsidP="00D46B11">
      <w:pPr>
        <w:pStyle w:val="Heading3"/>
      </w:pPr>
      <w:bookmarkStart w:id="34" w:name="_Toc47888220"/>
      <w:r w:rsidRPr="008B64AA">
        <w:t>Table 6 Data collection of significant emissions</w:t>
      </w:r>
      <w:bookmarkEnd w:id="34"/>
    </w:p>
    <w:tbl>
      <w:tblPr>
        <w:tblStyle w:val="TableGrid"/>
        <w:tblW w:w="0" w:type="auto"/>
        <w:tblLook w:val="04A0" w:firstRow="1" w:lastRow="0" w:firstColumn="1" w:lastColumn="0" w:noHBand="0" w:noVBand="1"/>
      </w:tblPr>
      <w:tblGrid>
        <w:gridCol w:w="3209"/>
        <w:gridCol w:w="3209"/>
        <w:gridCol w:w="3210"/>
      </w:tblGrid>
      <w:tr w:rsidR="00667809" w:rsidTr="00902EE8">
        <w:trPr>
          <w:tblHeader/>
        </w:trPr>
        <w:tc>
          <w:tcPr>
            <w:tcW w:w="3209" w:type="dxa"/>
            <w:shd w:val="clear" w:color="auto" w:fill="C4BC96" w:themeFill="background2" w:themeFillShade="BF"/>
            <w:vAlign w:val="center"/>
          </w:tcPr>
          <w:p w:rsidR="00667809" w:rsidRDefault="00667809" w:rsidP="00667809">
            <w:pPr>
              <w:widowControl w:val="0"/>
              <w:tabs>
                <w:tab w:val="left" w:pos="397"/>
              </w:tabs>
              <w:spacing w:before="58"/>
              <w:rPr>
                <w:color w:val="0070C0"/>
              </w:rPr>
            </w:pPr>
            <w:bookmarkStart w:id="35" w:name="Title_10" w:colFirst="0" w:colLast="0"/>
            <w:r w:rsidRPr="00266C18">
              <w:rPr>
                <w:szCs w:val="20"/>
              </w:rPr>
              <w:t>Emission source</w:t>
            </w:r>
          </w:p>
        </w:tc>
        <w:tc>
          <w:tcPr>
            <w:tcW w:w="3209" w:type="dxa"/>
            <w:shd w:val="clear" w:color="auto" w:fill="C4BC96" w:themeFill="background2" w:themeFillShade="BF"/>
            <w:vAlign w:val="center"/>
          </w:tcPr>
          <w:p w:rsidR="00667809" w:rsidRDefault="00667809" w:rsidP="00667809">
            <w:pPr>
              <w:spacing w:before="120" w:after="120"/>
              <w:ind w:right="437"/>
              <w:rPr>
                <w:color w:val="0070C0"/>
              </w:rPr>
            </w:pPr>
            <w:r>
              <w:rPr>
                <w:szCs w:val="20"/>
              </w:rPr>
              <w:t>Data collection method</w:t>
            </w:r>
            <w:r w:rsidRPr="00266C18">
              <w:rPr>
                <w:szCs w:val="20"/>
              </w:rPr>
              <w:t xml:space="preserve"> </w:t>
            </w:r>
          </w:p>
        </w:tc>
        <w:tc>
          <w:tcPr>
            <w:tcW w:w="3210" w:type="dxa"/>
            <w:shd w:val="clear" w:color="auto" w:fill="C4BC96" w:themeFill="background2" w:themeFillShade="BF"/>
            <w:vAlign w:val="center"/>
          </w:tcPr>
          <w:p w:rsidR="00667809" w:rsidRDefault="00667809" w:rsidP="00667809">
            <w:pPr>
              <w:spacing w:before="120" w:after="120"/>
              <w:ind w:right="437"/>
              <w:rPr>
                <w:color w:val="0070C0"/>
              </w:rPr>
            </w:pPr>
            <w:r>
              <w:rPr>
                <w:szCs w:val="20"/>
              </w:rPr>
              <w:t>Assumptions</w:t>
            </w:r>
            <w:r w:rsidRPr="00266C18">
              <w:t xml:space="preserve">  </w:t>
            </w:r>
          </w:p>
        </w:tc>
      </w:tr>
      <w:bookmarkEnd w:id="35"/>
      <w:tr w:rsidR="00CE5833" w:rsidTr="00667809">
        <w:tc>
          <w:tcPr>
            <w:tcW w:w="3209" w:type="dxa"/>
          </w:tcPr>
          <w:p w:rsidR="00CE5833" w:rsidRDefault="00CE5833" w:rsidP="00CE5833">
            <w:pPr>
              <w:widowControl w:val="0"/>
              <w:tabs>
                <w:tab w:val="left" w:pos="397"/>
              </w:tabs>
              <w:spacing w:before="58"/>
              <w:rPr>
                <w:color w:val="0070C0"/>
              </w:rPr>
            </w:pPr>
            <w:r w:rsidRPr="00675C3A">
              <w:rPr>
                <w:color w:val="000000" w:themeColor="text1"/>
              </w:rPr>
              <w:t>Stationary Energy</w:t>
            </w:r>
          </w:p>
        </w:tc>
        <w:tc>
          <w:tcPr>
            <w:tcW w:w="3209" w:type="dxa"/>
          </w:tcPr>
          <w:p w:rsidR="00CE5833" w:rsidRDefault="00CE5833" w:rsidP="00CE5833">
            <w:pPr>
              <w:spacing w:before="120" w:after="120"/>
              <w:ind w:right="437"/>
              <w:rPr>
                <w:color w:val="0070C0"/>
              </w:rPr>
            </w:pPr>
            <w:r w:rsidRPr="00675C3A">
              <w:rPr>
                <w:color w:val="000000" w:themeColor="text1"/>
              </w:rPr>
              <w:t xml:space="preserve">Electricity and gas accounts </w:t>
            </w:r>
            <w:r>
              <w:rPr>
                <w:color w:val="000000" w:themeColor="text1"/>
              </w:rPr>
              <w:t xml:space="preserve">were </w:t>
            </w:r>
            <w:r w:rsidRPr="00675C3A">
              <w:rPr>
                <w:color w:val="000000" w:themeColor="text1"/>
              </w:rPr>
              <w:t>collected for all tier one events. Electricity and Gas accounts collected for a (minimum 50%) sample of tier two events and extrapolated across all other tier two events based on a ‘per-attendee’ factor</w:t>
            </w:r>
            <w:r>
              <w:rPr>
                <w:color w:val="000000" w:themeColor="text1"/>
              </w:rPr>
              <w:t>.</w:t>
            </w:r>
          </w:p>
        </w:tc>
        <w:tc>
          <w:tcPr>
            <w:tcW w:w="3210" w:type="dxa"/>
          </w:tcPr>
          <w:p w:rsidR="00CE5833" w:rsidRDefault="00CE5833" w:rsidP="00CE5833">
            <w:pPr>
              <w:spacing w:before="120" w:after="120"/>
              <w:ind w:right="437"/>
              <w:rPr>
                <w:color w:val="0070C0"/>
              </w:rPr>
            </w:pPr>
            <w:r w:rsidRPr="00675C3A">
              <w:rPr>
                <w:color w:val="000000" w:themeColor="text1"/>
              </w:rPr>
              <w:t>Tier two event venues which did not provide data have comparable energy loads to those which did</w:t>
            </w:r>
            <w:r>
              <w:rPr>
                <w:color w:val="000000" w:themeColor="text1"/>
              </w:rPr>
              <w:t>.</w:t>
            </w:r>
          </w:p>
        </w:tc>
      </w:tr>
      <w:tr w:rsidR="00CE5833" w:rsidTr="00667809">
        <w:tc>
          <w:tcPr>
            <w:tcW w:w="3209" w:type="dxa"/>
          </w:tcPr>
          <w:p w:rsidR="00CE5833" w:rsidRPr="00535AE1" w:rsidRDefault="00CE5833" w:rsidP="00CE5833">
            <w:pPr>
              <w:widowControl w:val="0"/>
              <w:tabs>
                <w:tab w:val="left" w:pos="397"/>
              </w:tabs>
              <w:spacing w:before="58"/>
              <w:rPr>
                <w:color w:val="000000" w:themeColor="text1"/>
              </w:rPr>
            </w:pPr>
            <w:r w:rsidRPr="00675C3A">
              <w:rPr>
                <w:color w:val="000000" w:themeColor="text1"/>
              </w:rPr>
              <w:t>Food and Drinks</w:t>
            </w:r>
          </w:p>
        </w:tc>
        <w:tc>
          <w:tcPr>
            <w:tcW w:w="3209" w:type="dxa"/>
          </w:tcPr>
          <w:p w:rsidR="00CE5833" w:rsidRPr="00535AE1" w:rsidRDefault="00CE5833" w:rsidP="00CE5833">
            <w:pPr>
              <w:spacing w:before="120" w:after="120"/>
              <w:ind w:right="437"/>
              <w:rPr>
                <w:color w:val="000000" w:themeColor="text1"/>
              </w:rPr>
            </w:pPr>
            <w:r w:rsidRPr="00675C3A">
              <w:rPr>
                <w:color w:val="000000" w:themeColor="text1"/>
              </w:rPr>
              <w:t>Food and drinks sales figures for all tier one events are collected. Food and drinks sales figures are collected for a (minimum 50%) sample of tier two events and extrapolated across all other tier two events based on a ‘per-attendee’ factor</w:t>
            </w:r>
            <w:r>
              <w:rPr>
                <w:color w:val="000000" w:themeColor="text1"/>
              </w:rPr>
              <w:t>.</w:t>
            </w:r>
          </w:p>
        </w:tc>
        <w:tc>
          <w:tcPr>
            <w:tcW w:w="3210" w:type="dxa"/>
          </w:tcPr>
          <w:p w:rsidR="00CE5833" w:rsidRDefault="00CE5833" w:rsidP="00CE5833">
            <w:pPr>
              <w:spacing w:before="120" w:after="120"/>
              <w:ind w:right="437"/>
              <w:rPr>
                <w:color w:val="0070C0"/>
              </w:rPr>
            </w:pPr>
            <w:r w:rsidRPr="00675C3A">
              <w:rPr>
                <w:color w:val="000000" w:themeColor="text1"/>
              </w:rPr>
              <w:t>Tier two event venues which did not provide data have comparable food and beverage sales to those which did</w:t>
            </w:r>
            <w:r>
              <w:rPr>
                <w:color w:val="000000" w:themeColor="text1"/>
              </w:rPr>
              <w:t>.</w:t>
            </w:r>
          </w:p>
        </w:tc>
      </w:tr>
      <w:tr w:rsidR="00CE5833" w:rsidTr="00667809">
        <w:tc>
          <w:tcPr>
            <w:tcW w:w="3209" w:type="dxa"/>
          </w:tcPr>
          <w:p w:rsidR="00CE5833" w:rsidRDefault="00CE5833" w:rsidP="00CE5833">
            <w:pPr>
              <w:widowControl w:val="0"/>
              <w:tabs>
                <w:tab w:val="left" w:pos="397"/>
              </w:tabs>
              <w:spacing w:before="58"/>
              <w:rPr>
                <w:color w:val="0070C0"/>
              </w:rPr>
            </w:pPr>
            <w:r w:rsidRPr="00675C3A">
              <w:rPr>
                <w:color w:val="000000" w:themeColor="text1"/>
              </w:rPr>
              <w:t>Attendee Travel</w:t>
            </w:r>
          </w:p>
        </w:tc>
        <w:tc>
          <w:tcPr>
            <w:tcW w:w="3209" w:type="dxa"/>
          </w:tcPr>
          <w:p w:rsidR="00CE5833" w:rsidRDefault="00CE5833" w:rsidP="00CE5833">
            <w:pPr>
              <w:spacing w:before="120" w:after="120"/>
              <w:ind w:right="437"/>
              <w:rPr>
                <w:color w:val="0070C0"/>
              </w:rPr>
            </w:pPr>
            <w:r>
              <w:rPr>
                <w:color w:val="000000" w:themeColor="text1"/>
              </w:rPr>
              <w:t>A sample of 468 attendees was</w:t>
            </w:r>
            <w:r w:rsidRPr="00675C3A">
              <w:rPr>
                <w:color w:val="000000" w:themeColor="text1"/>
              </w:rPr>
              <w:t xml:space="preserve"> asked what mode or travel they used to attend Melbourne Music Week and what the postcode of their origin was. Distance travelled was multiplied by an emissions factor for the selected mode (car, train, tram, walk, cycle, motorcycle). The sample was then extrapolated out over the whole number of Melbourne Music Week attendees</w:t>
            </w:r>
            <w:r>
              <w:rPr>
                <w:color w:val="000000" w:themeColor="text1"/>
              </w:rPr>
              <w:t>.</w:t>
            </w:r>
          </w:p>
        </w:tc>
        <w:tc>
          <w:tcPr>
            <w:tcW w:w="3210" w:type="dxa"/>
          </w:tcPr>
          <w:p w:rsidR="00CE5833" w:rsidRPr="005C7421" w:rsidRDefault="00CE5833" w:rsidP="00CE5833">
            <w:pPr>
              <w:spacing w:before="120" w:after="120"/>
              <w:ind w:right="437"/>
              <w:rPr>
                <w:color w:val="0070C0"/>
              </w:rPr>
            </w:pPr>
            <w:r w:rsidRPr="00675C3A">
              <w:rPr>
                <w:color w:val="000000" w:themeColor="text1"/>
              </w:rPr>
              <w:t xml:space="preserve">The City of Melbourne developed a ‘transport attribution factor’ which determines the amount of an attendees transport emissions which should be attributed to the Melbourne Music Week inventory. In 2019 there were three identified cohorts of attendees – </w:t>
            </w:r>
            <w:r w:rsidRPr="00675C3A">
              <w:rPr>
                <w:color w:val="000000" w:themeColor="text1"/>
              </w:rPr>
              <w:br/>
              <w:t xml:space="preserve">1. Those who purchased a ticket to an event. 100% of this cohorts transport emissions were attributed. </w:t>
            </w:r>
            <w:r w:rsidRPr="00675C3A">
              <w:rPr>
                <w:color w:val="000000" w:themeColor="text1"/>
              </w:rPr>
              <w:br/>
              <w:t>2. Those who attended a free event in a venue 71% of this cohorts travel emissions were attributed. 71% is the proportion of surveyed attendees across the whole event who said that attending Melbourne Music Week was the main reason for their travel on that day.</w:t>
            </w:r>
            <w:r>
              <w:rPr>
                <w:color w:val="000000" w:themeColor="text1"/>
              </w:rPr>
              <w:t xml:space="preserve"> 3. Those who attended a free event outside (a busking event for example). Only 25% of this cohorts travel emissions were attributed as they were considered passers-by or not particularly invested in the event.</w:t>
            </w:r>
          </w:p>
        </w:tc>
      </w:tr>
      <w:tr w:rsidR="00CE5833" w:rsidTr="00667809">
        <w:tc>
          <w:tcPr>
            <w:tcW w:w="3209" w:type="dxa"/>
          </w:tcPr>
          <w:p w:rsidR="00CE5833" w:rsidRPr="00115D82" w:rsidRDefault="00CE5833" w:rsidP="00CE5833">
            <w:pPr>
              <w:widowControl w:val="0"/>
              <w:tabs>
                <w:tab w:val="left" w:pos="397"/>
              </w:tabs>
              <w:spacing w:before="58"/>
              <w:rPr>
                <w:color w:val="000000" w:themeColor="text1"/>
              </w:rPr>
            </w:pPr>
            <w:r w:rsidRPr="00675C3A">
              <w:rPr>
                <w:color w:val="000000" w:themeColor="text1"/>
              </w:rPr>
              <w:t>Participant Travel</w:t>
            </w:r>
          </w:p>
        </w:tc>
        <w:tc>
          <w:tcPr>
            <w:tcW w:w="3209" w:type="dxa"/>
          </w:tcPr>
          <w:p w:rsidR="00CE5833" w:rsidRPr="00115D82" w:rsidRDefault="00CE5833" w:rsidP="00CE5833">
            <w:pPr>
              <w:spacing w:before="120" w:after="120"/>
              <w:ind w:right="437"/>
              <w:rPr>
                <w:color w:val="000000" w:themeColor="text1"/>
              </w:rPr>
            </w:pPr>
            <w:r w:rsidRPr="00675C3A">
              <w:rPr>
                <w:color w:val="000000" w:themeColor="text1"/>
              </w:rPr>
              <w:t xml:space="preserve">All flights which were booked through the City of Melbourne corporate traveller account were collected. All other interstate and overseas participants reported their origin of travel and </w:t>
            </w:r>
            <w:r>
              <w:rPr>
                <w:color w:val="000000" w:themeColor="text1"/>
              </w:rPr>
              <w:t>emissions were calculated from flight miles.</w:t>
            </w:r>
          </w:p>
        </w:tc>
        <w:tc>
          <w:tcPr>
            <w:tcW w:w="3210" w:type="dxa"/>
          </w:tcPr>
          <w:p w:rsidR="00CE5833" w:rsidRDefault="00CE5833" w:rsidP="00CE5833">
            <w:pPr>
              <w:spacing w:before="120" w:after="120"/>
              <w:ind w:right="437"/>
              <w:rPr>
                <w:color w:val="0070C0"/>
              </w:rPr>
            </w:pPr>
            <w:r w:rsidRPr="00675C3A">
              <w:rPr>
                <w:color w:val="000000" w:themeColor="text1"/>
              </w:rPr>
              <w:t xml:space="preserve">If an act was playing a number of shows on tour, only a proportion of their travel emissions would be attributed to Melbourne Music Week. </w:t>
            </w:r>
            <w:r w:rsidRPr="00675C3A">
              <w:rPr>
                <w:color w:val="000000" w:themeColor="text1"/>
                <w:lang w:val="en-US"/>
              </w:rPr>
              <w:t>For example, if Melbourne Music Week was one of five Australian shows an artist played, only 20% of the travel emissions were attributed.</w:t>
            </w:r>
          </w:p>
        </w:tc>
      </w:tr>
      <w:tr w:rsidR="00CE5833" w:rsidTr="00667809">
        <w:tc>
          <w:tcPr>
            <w:tcW w:w="3209" w:type="dxa"/>
          </w:tcPr>
          <w:p w:rsidR="00CE5833" w:rsidRPr="00115D82" w:rsidRDefault="00CE5833" w:rsidP="00CE5833">
            <w:pPr>
              <w:widowControl w:val="0"/>
              <w:tabs>
                <w:tab w:val="left" w:pos="397"/>
              </w:tabs>
              <w:spacing w:before="58"/>
              <w:rPr>
                <w:color w:val="000000" w:themeColor="text1"/>
              </w:rPr>
            </w:pPr>
            <w:r w:rsidRPr="00115D82">
              <w:rPr>
                <w:color w:val="000000" w:themeColor="text1"/>
              </w:rPr>
              <w:t>Participant Accommodation</w:t>
            </w:r>
          </w:p>
        </w:tc>
        <w:tc>
          <w:tcPr>
            <w:tcW w:w="3209" w:type="dxa"/>
          </w:tcPr>
          <w:p w:rsidR="00CE5833" w:rsidRPr="00115D82" w:rsidRDefault="00CE5833" w:rsidP="00CE5833">
            <w:pPr>
              <w:spacing w:before="120" w:after="120"/>
              <w:ind w:right="437"/>
              <w:rPr>
                <w:color w:val="000000" w:themeColor="text1"/>
              </w:rPr>
            </w:pPr>
            <w:r>
              <w:rPr>
                <w:color w:val="000000" w:themeColor="text1"/>
              </w:rPr>
              <w:t xml:space="preserve">All interstate and overseas participants (music acts, speakers, producers) completed a form indicating the number of night’s stay in Melbourne during Melbourne  Music Week. </w:t>
            </w:r>
          </w:p>
        </w:tc>
        <w:tc>
          <w:tcPr>
            <w:tcW w:w="3210" w:type="dxa"/>
          </w:tcPr>
          <w:p w:rsidR="00CE5833" w:rsidRPr="00115D82" w:rsidRDefault="00CE5833" w:rsidP="00CE5833">
            <w:pPr>
              <w:spacing w:before="120" w:after="120"/>
              <w:ind w:right="437"/>
              <w:rPr>
                <w:color w:val="000000" w:themeColor="text1"/>
              </w:rPr>
            </w:pPr>
          </w:p>
        </w:tc>
      </w:tr>
    </w:tbl>
    <w:p w:rsidR="00D46B11" w:rsidRDefault="00D46B11">
      <w:pPr>
        <w:spacing w:before="0" w:after="0" w:line="240" w:lineRule="auto"/>
        <w:rPr>
          <w:rFonts w:ascii="Arial Bold" w:eastAsia="MS Gothic" w:hAnsi="Arial Bold"/>
          <w:bCs/>
          <w:spacing w:val="-1"/>
          <w:sz w:val="28"/>
          <w:szCs w:val="28"/>
          <w:lang w:val="en-US"/>
        </w:rPr>
      </w:pPr>
      <w:r>
        <w:rPr>
          <w:spacing w:val="-1"/>
          <w:szCs w:val="28"/>
        </w:rPr>
        <w:br w:type="page"/>
      </w:r>
    </w:p>
    <w:p w:rsidR="00667809" w:rsidRPr="0053548B" w:rsidRDefault="00667809" w:rsidP="00667809">
      <w:pPr>
        <w:pStyle w:val="Heading1"/>
        <w:rPr>
          <w:spacing w:val="-1"/>
          <w:szCs w:val="28"/>
        </w:rPr>
      </w:pPr>
      <w:bookmarkStart w:id="36" w:name="_Toc47888221"/>
      <w:r w:rsidRPr="0053548B">
        <w:rPr>
          <w:spacing w:val="-1"/>
          <w:szCs w:val="28"/>
        </w:rPr>
        <w:t>4. Carbon offsets</w:t>
      </w:r>
      <w:bookmarkEnd w:id="36"/>
    </w:p>
    <w:p w:rsidR="00667809" w:rsidRPr="00D46B11" w:rsidRDefault="00667809" w:rsidP="00667809">
      <w:pPr>
        <w:pStyle w:val="Heading2"/>
        <w:rPr>
          <w:color w:val="000000" w:themeColor="text1"/>
        </w:rPr>
      </w:pPr>
      <w:bookmarkStart w:id="37" w:name="_Toc47888222"/>
      <w:r w:rsidRPr="00D46B11">
        <w:rPr>
          <w:spacing w:val="-1"/>
        </w:rPr>
        <w:t>Offset purchasing strategy</w:t>
      </w:r>
      <w:bookmarkEnd w:id="37"/>
    </w:p>
    <w:p w:rsidR="00667809" w:rsidRPr="00F77B5E" w:rsidRDefault="00D46B11" w:rsidP="00D46B11">
      <w:pPr>
        <w:pStyle w:val="Heading3"/>
        <w:rPr>
          <w:b/>
          <w:color w:val="000000" w:themeColor="text1"/>
        </w:rPr>
      </w:pPr>
      <w:bookmarkStart w:id="38" w:name="_Toc47888223"/>
      <w:r w:rsidRPr="007F354A">
        <w:t xml:space="preserve">Table </w:t>
      </w:r>
      <w:r>
        <w:t>7</w:t>
      </w:r>
      <w:r w:rsidRPr="007F354A">
        <w:t xml:space="preserve"> Forward purchasing summary</w:t>
      </w:r>
      <w:bookmarkEnd w:id="38"/>
    </w:p>
    <w:tbl>
      <w:tblPr>
        <w:tblStyle w:val="TableGrid"/>
        <w:tblW w:w="0" w:type="auto"/>
        <w:tblLook w:val="04A0" w:firstRow="1" w:lastRow="0" w:firstColumn="1" w:lastColumn="0" w:noHBand="0" w:noVBand="1"/>
      </w:tblPr>
      <w:tblGrid>
        <w:gridCol w:w="3397"/>
        <w:gridCol w:w="851"/>
      </w:tblGrid>
      <w:tr w:rsidR="00667809" w:rsidRPr="00F77B5E" w:rsidTr="00667809">
        <w:tc>
          <w:tcPr>
            <w:tcW w:w="3397" w:type="dxa"/>
          </w:tcPr>
          <w:p w:rsidR="00667809" w:rsidRDefault="00667809" w:rsidP="00667809">
            <w:pPr>
              <w:widowControl w:val="0"/>
              <w:spacing w:line="277" w:lineRule="auto"/>
              <w:rPr>
                <w:color w:val="000000" w:themeColor="text1"/>
                <w:lang w:val="en-US"/>
              </w:rPr>
            </w:pPr>
            <w:bookmarkStart w:id="39" w:name="RowTitle_11" w:colFirst="0" w:colLast="0"/>
            <w:r>
              <w:rPr>
                <w:color w:val="000000" w:themeColor="text1"/>
                <w:lang w:val="en-US"/>
              </w:rPr>
              <w:t xml:space="preserve">1. </w:t>
            </w:r>
            <w:r w:rsidRPr="006E7937">
              <w:rPr>
                <w:color w:val="000000" w:themeColor="text1"/>
                <w:lang w:val="en-US"/>
              </w:rPr>
              <w:t>Total offsets</w:t>
            </w:r>
            <w:r>
              <w:rPr>
                <w:color w:val="000000" w:themeColor="text1"/>
                <w:lang w:val="en-US"/>
              </w:rPr>
              <w:t xml:space="preserve"> previously forward</w:t>
            </w:r>
            <w:r w:rsidRPr="006E7937">
              <w:rPr>
                <w:color w:val="000000" w:themeColor="text1"/>
                <w:lang w:val="en-US"/>
              </w:rPr>
              <w:t xml:space="preserve"> purchased </w:t>
            </w:r>
            <w:r>
              <w:rPr>
                <w:color w:val="000000" w:themeColor="text1"/>
                <w:lang w:val="en-US"/>
              </w:rPr>
              <w:t xml:space="preserve">for this event </w:t>
            </w:r>
          </w:p>
        </w:tc>
        <w:tc>
          <w:tcPr>
            <w:tcW w:w="851" w:type="dxa"/>
            <w:tcBorders>
              <w:right w:val="single" w:sz="4" w:space="0" w:color="auto"/>
            </w:tcBorders>
          </w:tcPr>
          <w:p w:rsidR="00667809" w:rsidRDefault="00667809" w:rsidP="00667809">
            <w:pPr>
              <w:widowControl w:val="0"/>
              <w:spacing w:line="277" w:lineRule="auto"/>
              <w:rPr>
                <w:color w:val="000000" w:themeColor="text1"/>
                <w:lang w:val="en-US"/>
              </w:rPr>
            </w:pPr>
            <w:r>
              <w:rPr>
                <w:color w:val="000000" w:themeColor="text1"/>
                <w:lang w:val="en-US"/>
              </w:rPr>
              <w:t>647</w:t>
            </w:r>
          </w:p>
        </w:tc>
      </w:tr>
      <w:tr w:rsidR="00667809" w:rsidRPr="00F77B5E" w:rsidTr="00667809">
        <w:tc>
          <w:tcPr>
            <w:tcW w:w="3397" w:type="dxa"/>
          </w:tcPr>
          <w:p w:rsidR="00667809" w:rsidRDefault="00667809" w:rsidP="00667809">
            <w:pPr>
              <w:widowControl w:val="0"/>
              <w:spacing w:line="277" w:lineRule="auto"/>
              <w:rPr>
                <w:color w:val="000000" w:themeColor="text1"/>
                <w:lang w:val="en-US"/>
              </w:rPr>
            </w:pPr>
            <w:r>
              <w:rPr>
                <w:color w:val="000000" w:themeColor="text1"/>
                <w:lang w:val="en-US"/>
              </w:rPr>
              <w:t>2. Total offsets required for this reporting period</w:t>
            </w:r>
          </w:p>
        </w:tc>
        <w:tc>
          <w:tcPr>
            <w:tcW w:w="851" w:type="dxa"/>
            <w:tcBorders>
              <w:right w:val="single" w:sz="4" w:space="0" w:color="auto"/>
            </w:tcBorders>
          </w:tcPr>
          <w:p w:rsidR="00667809" w:rsidRDefault="00667809" w:rsidP="00667809">
            <w:pPr>
              <w:widowControl w:val="0"/>
              <w:spacing w:line="277" w:lineRule="auto"/>
              <w:rPr>
                <w:color w:val="000000" w:themeColor="text1"/>
                <w:lang w:val="en-US"/>
              </w:rPr>
            </w:pPr>
            <w:r>
              <w:rPr>
                <w:color w:val="000000" w:themeColor="text1"/>
                <w:lang w:val="en-US"/>
              </w:rPr>
              <w:t>773</w:t>
            </w:r>
          </w:p>
        </w:tc>
      </w:tr>
      <w:tr w:rsidR="00667809" w:rsidTr="00667809">
        <w:tc>
          <w:tcPr>
            <w:tcW w:w="3397" w:type="dxa"/>
          </w:tcPr>
          <w:p w:rsidR="00667809" w:rsidRDefault="00667809" w:rsidP="00667809">
            <w:pPr>
              <w:widowControl w:val="0"/>
              <w:spacing w:line="277" w:lineRule="auto"/>
              <w:rPr>
                <w:color w:val="000000" w:themeColor="text1"/>
                <w:lang w:val="en-US"/>
              </w:rPr>
            </w:pPr>
            <w:r>
              <w:rPr>
                <w:color w:val="000000" w:themeColor="text1"/>
                <w:lang w:val="en-US"/>
              </w:rPr>
              <w:t>3. Net offset balance for this reporting period</w:t>
            </w:r>
          </w:p>
        </w:tc>
        <w:tc>
          <w:tcPr>
            <w:tcW w:w="851" w:type="dxa"/>
            <w:tcBorders>
              <w:right w:val="single" w:sz="4" w:space="0" w:color="auto"/>
            </w:tcBorders>
          </w:tcPr>
          <w:p w:rsidR="00667809" w:rsidRDefault="00667809" w:rsidP="00667809">
            <w:pPr>
              <w:widowControl w:val="0"/>
              <w:spacing w:line="277" w:lineRule="auto"/>
              <w:rPr>
                <w:color w:val="000000" w:themeColor="text1"/>
                <w:lang w:val="en-US"/>
              </w:rPr>
            </w:pPr>
            <w:r>
              <w:rPr>
                <w:color w:val="000000" w:themeColor="text1"/>
                <w:lang w:val="en-US"/>
              </w:rPr>
              <w:t>-126</w:t>
            </w:r>
          </w:p>
        </w:tc>
      </w:tr>
      <w:bookmarkEnd w:id="39"/>
    </w:tbl>
    <w:p w:rsidR="00667809" w:rsidRDefault="00667809" w:rsidP="00667809">
      <w:pPr>
        <w:rPr>
          <w:color w:val="4F81BD" w:themeColor="accent1"/>
          <w:lang w:val="en-US"/>
        </w:rPr>
        <w:sectPr w:rsidR="00667809" w:rsidSect="00667809">
          <w:headerReference w:type="default"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pPr>
    </w:p>
    <w:p w:rsidR="00667809" w:rsidRPr="008D59D4" w:rsidRDefault="00F608ED" w:rsidP="00F608ED">
      <w:pPr>
        <w:pStyle w:val="Heading3"/>
        <w:rPr>
          <w:rFonts w:eastAsia="Calibri" w:cs="Calibri"/>
        </w:rPr>
      </w:pPr>
      <w:bookmarkStart w:id="40" w:name="_Toc47888224"/>
      <w:r w:rsidRPr="007F354A">
        <w:t>Table 8 Offset Summary</w:t>
      </w:r>
      <w:bookmarkEnd w:id="40"/>
    </w:p>
    <w:tbl>
      <w:tblPr>
        <w:tblStyle w:val="TableGrid11"/>
        <w:tblW w:w="3913" w:type="pct"/>
        <w:tblLook w:val="04A0" w:firstRow="1" w:lastRow="0" w:firstColumn="1" w:lastColumn="0" w:noHBand="0" w:noVBand="1"/>
      </w:tblPr>
      <w:tblGrid>
        <w:gridCol w:w="7310"/>
        <w:gridCol w:w="4041"/>
      </w:tblGrid>
      <w:tr w:rsidR="00667809" w:rsidTr="00670405">
        <w:trPr>
          <w:cantSplit/>
        </w:trPr>
        <w:tc>
          <w:tcPr>
            <w:tcW w:w="3220"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b/>
                <w:i/>
                <w:color w:val="000000" w:themeColor="text1"/>
              </w:rPr>
            </w:pPr>
            <w:bookmarkStart w:id="41" w:name="RowTitle_12" w:colFirst="0" w:colLast="0"/>
            <w:r>
              <w:rPr>
                <w:b/>
                <w:i/>
                <w:color w:val="000000" w:themeColor="text1"/>
              </w:rPr>
              <w:t>1. Total offsets required for this report</w:t>
            </w:r>
          </w:p>
        </w:tc>
        <w:tc>
          <w:tcPr>
            <w:tcW w:w="1780"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ind w:right="106"/>
              <w:rPr>
                <w:color w:val="000000" w:themeColor="text1"/>
                <w:sz w:val="20"/>
                <w:szCs w:val="20"/>
              </w:rPr>
            </w:pPr>
            <w:r w:rsidRPr="00FB419E">
              <w:rPr>
                <w:color w:val="000000" w:themeColor="text1"/>
                <w:lang w:val="en-US"/>
              </w:rPr>
              <w:t xml:space="preserve">773 </w:t>
            </w:r>
          </w:p>
        </w:tc>
      </w:tr>
      <w:tr w:rsidR="00667809" w:rsidTr="00670405">
        <w:trPr>
          <w:cantSplit/>
        </w:trPr>
        <w:tc>
          <w:tcPr>
            <w:tcW w:w="3220" w:type="pct"/>
            <w:tcBorders>
              <w:top w:val="single" w:sz="4" w:space="0" w:color="auto"/>
              <w:left w:val="single" w:sz="4" w:space="0" w:color="auto"/>
              <w:bottom w:val="single" w:sz="4" w:space="0" w:color="auto"/>
              <w:right w:val="single" w:sz="4" w:space="0" w:color="auto"/>
            </w:tcBorders>
            <w:hideMark/>
          </w:tcPr>
          <w:p w:rsidR="00667809" w:rsidRPr="00FB419E" w:rsidRDefault="00667809" w:rsidP="00667809">
            <w:pPr>
              <w:spacing w:before="120"/>
              <w:jc w:val="right"/>
              <w:rPr>
                <w:b/>
                <w:i/>
                <w:color w:val="000000" w:themeColor="text1"/>
                <w:sz w:val="20"/>
                <w:szCs w:val="20"/>
              </w:rPr>
            </w:pPr>
            <w:r w:rsidRPr="00FB419E">
              <w:rPr>
                <w:b/>
                <w:i/>
                <w:color w:val="000000" w:themeColor="text1"/>
              </w:rPr>
              <w:t>2. Offsets retired in previous reports and used in this report</w:t>
            </w:r>
          </w:p>
        </w:tc>
        <w:tc>
          <w:tcPr>
            <w:tcW w:w="1780" w:type="pct"/>
            <w:tcBorders>
              <w:top w:val="single" w:sz="4" w:space="0" w:color="auto"/>
              <w:left w:val="single" w:sz="4" w:space="0" w:color="auto"/>
              <w:bottom w:val="single" w:sz="4" w:space="0" w:color="auto"/>
              <w:right w:val="single" w:sz="4" w:space="0" w:color="auto"/>
            </w:tcBorders>
            <w:hideMark/>
          </w:tcPr>
          <w:p w:rsidR="00667809" w:rsidRPr="00FB419E" w:rsidRDefault="00667809" w:rsidP="00667809">
            <w:pPr>
              <w:spacing w:before="120"/>
              <w:ind w:right="106"/>
              <w:rPr>
                <w:color w:val="000000" w:themeColor="text1"/>
                <w:lang w:val="en-US"/>
              </w:rPr>
            </w:pPr>
            <w:r w:rsidRPr="00FB419E">
              <w:rPr>
                <w:color w:val="000000" w:themeColor="text1"/>
                <w:lang w:val="en-US"/>
              </w:rPr>
              <w:t>647</w:t>
            </w:r>
          </w:p>
        </w:tc>
      </w:tr>
      <w:tr w:rsidR="00667809" w:rsidTr="00670405">
        <w:trPr>
          <w:cantSplit/>
        </w:trPr>
        <w:tc>
          <w:tcPr>
            <w:tcW w:w="3220"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jc w:val="right"/>
              <w:rPr>
                <w:b/>
                <w:i/>
                <w:color w:val="000000" w:themeColor="text1"/>
              </w:rPr>
            </w:pPr>
            <w:r>
              <w:rPr>
                <w:b/>
                <w:i/>
                <w:color w:val="000000" w:themeColor="text1"/>
              </w:rPr>
              <w:t>3. Net offsets required for this report</w:t>
            </w:r>
          </w:p>
        </w:tc>
        <w:tc>
          <w:tcPr>
            <w:tcW w:w="1780" w:type="pct"/>
            <w:tcBorders>
              <w:top w:val="single" w:sz="4" w:space="0" w:color="auto"/>
              <w:left w:val="single" w:sz="4" w:space="0" w:color="auto"/>
              <w:bottom w:val="single" w:sz="4" w:space="0" w:color="auto"/>
              <w:right w:val="single" w:sz="4" w:space="0" w:color="auto"/>
            </w:tcBorders>
            <w:hideMark/>
          </w:tcPr>
          <w:p w:rsidR="00667809" w:rsidRDefault="00667809" w:rsidP="00667809">
            <w:pPr>
              <w:spacing w:before="120"/>
              <w:ind w:right="106"/>
              <w:rPr>
                <w:color w:val="0070C0"/>
                <w:lang w:val="en-US"/>
              </w:rPr>
            </w:pPr>
            <w:r w:rsidRPr="00FB419E">
              <w:rPr>
                <w:color w:val="000000" w:themeColor="text1"/>
                <w:lang w:val="en-US"/>
              </w:rPr>
              <w:t>126</w:t>
            </w:r>
          </w:p>
        </w:tc>
      </w:tr>
      <w:bookmarkEnd w:id="41"/>
    </w:tbl>
    <w:p w:rsidR="00F608ED" w:rsidRDefault="00F608ED">
      <w:pPr>
        <w:spacing w:before="0" w:after="0" w:line="240" w:lineRule="auto"/>
      </w:pPr>
    </w:p>
    <w:tbl>
      <w:tblPr>
        <w:tblStyle w:val="TableGrid11"/>
        <w:tblW w:w="5000" w:type="pct"/>
        <w:tblLook w:val="04A0" w:firstRow="1" w:lastRow="0" w:firstColumn="1" w:lastColumn="0" w:noHBand="0" w:noVBand="1"/>
      </w:tblPr>
      <w:tblGrid>
        <w:gridCol w:w="1858"/>
        <w:gridCol w:w="1152"/>
        <w:gridCol w:w="1491"/>
        <w:gridCol w:w="1607"/>
        <w:gridCol w:w="2135"/>
        <w:gridCol w:w="1163"/>
        <w:gridCol w:w="1268"/>
        <w:gridCol w:w="1294"/>
        <w:gridCol w:w="1268"/>
        <w:gridCol w:w="1268"/>
      </w:tblGrid>
      <w:tr w:rsidR="00667809" w:rsidRPr="00EA185E" w:rsidTr="00670405">
        <w:trPr>
          <w:cantSplit/>
          <w:tblHeader/>
        </w:trPr>
        <w:tc>
          <w:tcPr>
            <w:tcW w:w="640"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bookmarkStart w:id="42" w:name="Title_13" w:colFirst="0" w:colLast="0"/>
            <w:r w:rsidRPr="00EA185E">
              <w:rPr>
                <w:b/>
                <w:iCs/>
                <w:sz w:val="20"/>
                <w:szCs w:val="20"/>
                <w:lang w:val="en-US"/>
              </w:rPr>
              <w:t>Project description</w:t>
            </w:r>
          </w:p>
        </w:tc>
        <w:tc>
          <w:tcPr>
            <w:tcW w:w="39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Eligible offset units type</w:t>
            </w:r>
          </w:p>
        </w:tc>
        <w:tc>
          <w:tcPr>
            <w:tcW w:w="514"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Registry unit retired in</w:t>
            </w:r>
          </w:p>
        </w:tc>
        <w:tc>
          <w:tcPr>
            <w:tcW w:w="554"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Date retired</w:t>
            </w:r>
          </w:p>
        </w:tc>
        <w:tc>
          <w:tcPr>
            <w:tcW w:w="736"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Serial number (including hyperlink to registry transaction record)</w:t>
            </w:r>
          </w:p>
        </w:tc>
        <w:tc>
          <w:tcPr>
            <w:tcW w:w="401"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 xml:space="preserve">Vintage </w:t>
            </w:r>
          </w:p>
        </w:tc>
        <w:tc>
          <w:tcPr>
            <w:tcW w:w="43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Quantity (tonnes CO2-e)</w:t>
            </w:r>
          </w:p>
        </w:tc>
        <w:tc>
          <w:tcPr>
            <w:tcW w:w="446" w:type="pct"/>
            <w:tcBorders>
              <w:top w:val="single" w:sz="4" w:space="0" w:color="auto"/>
              <w:left w:val="single" w:sz="4" w:space="0" w:color="auto"/>
              <w:bottom w:val="single" w:sz="4" w:space="0" w:color="auto"/>
              <w:right w:val="single" w:sz="4" w:space="0" w:color="auto"/>
            </w:tcBorders>
          </w:tcPr>
          <w:p w:rsidR="00667809" w:rsidRPr="00EA185E" w:rsidRDefault="00667809" w:rsidP="00667809">
            <w:pPr>
              <w:widowControl w:val="0"/>
              <w:spacing w:before="120"/>
              <w:rPr>
                <w:b/>
                <w:iCs/>
                <w:sz w:val="20"/>
                <w:szCs w:val="20"/>
                <w:lang w:val="en-US"/>
              </w:rPr>
            </w:pPr>
            <w:r w:rsidRPr="00EA185E">
              <w:rPr>
                <w:b/>
                <w:iCs/>
                <w:sz w:val="20"/>
                <w:szCs w:val="20"/>
                <w:lang w:val="en-US"/>
              </w:rPr>
              <w:t>Quantity used for previous report</w:t>
            </w:r>
          </w:p>
        </w:tc>
        <w:tc>
          <w:tcPr>
            <w:tcW w:w="43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 xml:space="preserve">Quantity to be banked for future years </w:t>
            </w:r>
          </w:p>
        </w:tc>
        <w:tc>
          <w:tcPr>
            <w:tcW w:w="437" w:type="pct"/>
            <w:tcBorders>
              <w:top w:val="single" w:sz="4" w:space="0" w:color="auto"/>
              <w:left w:val="single" w:sz="4" w:space="0" w:color="auto"/>
              <w:bottom w:val="single" w:sz="4" w:space="0" w:color="auto"/>
              <w:right w:val="single" w:sz="4" w:space="0" w:color="auto"/>
            </w:tcBorders>
            <w:hideMark/>
          </w:tcPr>
          <w:p w:rsidR="00667809" w:rsidRPr="00EA185E" w:rsidRDefault="00667809" w:rsidP="00667809">
            <w:pPr>
              <w:widowControl w:val="0"/>
              <w:spacing w:before="120"/>
              <w:rPr>
                <w:b/>
                <w:iCs/>
                <w:sz w:val="20"/>
                <w:szCs w:val="20"/>
                <w:lang w:val="en-US"/>
              </w:rPr>
            </w:pPr>
            <w:r w:rsidRPr="00EA185E">
              <w:rPr>
                <w:b/>
                <w:iCs/>
                <w:sz w:val="20"/>
                <w:szCs w:val="20"/>
                <w:lang w:val="en-US"/>
              </w:rPr>
              <w:t>Quantity to be used this report</w:t>
            </w:r>
          </w:p>
        </w:tc>
      </w:tr>
      <w:bookmarkEnd w:id="42"/>
      <w:tr w:rsidR="00670405" w:rsidTr="00670405">
        <w:trPr>
          <w:cantSplit/>
        </w:trPr>
        <w:tc>
          <w:tcPr>
            <w:tcW w:w="640" w:type="pct"/>
            <w:tcBorders>
              <w:top w:val="single" w:sz="4" w:space="0" w:color="auto"/>
              <w:left w:val="single" w:sz="4" w:space="0" w:color="auto"/>
              <w:bottom w:val="single" w:sz="4" w:space="0" w:color="auto"/>
              <w:right w:val="single" w:sz="4" w:space="0" w:color="auto"/>
            </w:tcBorders>
            <w:hideMark/>
          </w:tcPr>
          <w:p w:rsidR="00670405" w:rsidRDefault="00670405" w:rsidP="00670405">
            <w:pPr>
              <w:spacing w:before="120"/>
              <w:rPr>
                <w:color w:val="0070C0"/>
                <w:lang w:val="en-US"/>
              </w:rPr>
            </w:pPr>
            <w:r w:rsidRPr="00CA7D2C">
              <w:rPr>
                <w:color w:val="000000" w:themeColor="text1"/>
                <w:lang w:val="en-US"/>
              </w:rPr>
              <w:t>Savannah Burning:  The North Kimberley Fire Abatement Project.</w:t>
            </w:r>
            <w:r w:rsidRPr="00CA7D2C">
              <w:rPr>
                <w:color w:val="000000" w:themeColor="text1"/>
                <w:lang w:val="en-US"/>
              </w:rPr>
              <w:br/>
              <w:t>(carry over of over-purchased offsets from the Large Events Portfolio 2018)</w:t>
            </w:r>
          </w:p>
        </w:tc>
        <w:tc>
          <w:tcPr>
            <w:tcW w:w="397"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 w:val="right" w:pos="8505"/>
              </w:tabs>
              <w:spacing w:before="120"/>
              <w:rPr>
                <w:color w:val="0070C0"/>
                <w:lang w:val="en-US"/>
              </w:rPr>
            </w:pPr>
            <w:r w:rsidRPr="00CA7D2C">
              <w:rPr>
                <w:color w:val="000000" w:themeColor="text1"/>
                <w:lang w:val="en-US"/>
              </w:rPr>
              <w:t>ACCU</w:t>
            </w:r>
          </w:p>
        </w:tc>
        <w:tc>
          <w:tcPr>
            <w:tcW w:w="514"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rPr>
                <w:color w:val="0070C0"/>
                <w:lang w:val="en-US"/>
              </w:rPr>
            </w:pPr>
            <w:r w:rsidRPr="00CA7D2C">
              <w:rPr>
                <w:color w:val="000000" w:themeColor="text1"/>
                <w:lang w:val="en-US"/>
              </w:rPr>
              <w:t>N/A</w:t>
            </w:r>
          </w:p>
        </w:tc>
        <w:tc>
          <w:tcPr>
            <w:tcW w:w="554"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rPr>
                <w:color w:val="0070C0"/>
                <w:lang w:val="en-US"/>
              </w:rPr>
            </w:pPr>
            <w:r w:rsidRPr="00CA7D2C">
              <w:rPr>
                <w:color w:val="000000" w:themeColor="text1"/>
                <w:lang w:val="en-US"/>
              </w:rPr>
              <w:t>N/A</w:t>
            </w:r>
          </w:p>
        </w:tc>
        <w:tc>
          <w:tcPr>
            <w:tcW w:w="736"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rPr>
                <w:color w:val="0070C0"/>
                <w:lang w:val="en-US"/>
              </w:rPr>
            </w:pPr>
            <w:r w:rsidRPr="00CA7D2C">
              <w:rPr>
                <w:lang w:val="en-AU"/>
              </w:rPr>
              <w:t>Previously retired and reported</w:t>
            </w:r>
          </w:p>
        </w:tc>
        <w:tc>
          <w:tcPr>
            <w:tcW w:w="401"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jc w:val="right"/>
              <w:rPr>
                <w:color w:val="0070C0"/>
                <w:lang w:val="en-US"/>
              </w:rPr>
            </w:pPr>
            <w:r w:rsidRPr="00CA7D2C">
              <w:rPr>
                <w:color w:val="000000" w:themeColor="text1"/>
                <w:lang w:val="en-US"/>
              </w:rPr>
              <w:t>2015</w:t>
            </w:r>
          </w:p>
        </w:tc>
        <w:tc>
          <w:tcPr>
            <w:tcW w:w="437"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jc w:val="right"/>
              <w:rPr>
                <w:color w:val="0070C0"/>
                <w:lang w:val="en-US"/>
              </w:rPr>
            </w:pPr>
            <w:r w:rsidRPr="00CA7D2C">
              <w:rPr>
                <w:color w:val="000000" w:themeColor="text1"/>
                <w:lang w:val="en-US"/>
              </w:rPr>
              <w:t>220</w:t>
            </w:r>
          </w:p>
        </w:tc>
        <w:tc>
          <w:tcPr>
            <w:tcW w:w="446" w:type="pct"/>
            <w:tcBorders>
              <w:top w:val="single" w:sz="4" w:space="0" w:color="auto"/>
              <w:left w:val="single" w:sz="4" w:space="0" w:color="auto"/>
              <w:bottom w:val="single" w:sz="4" w:space="0" w:color="auto"/>
              <w:right w:val="single" w:sz="4" w:space="0" w:color="auto"/>
            </w:tcBorders>
          </w:tcPr>
          <w:p w:rsidR="00670405" w:rsidRDefault="00670405" w:rsidP="00670405">
            <w:pPr>
              <w:tabs>
                <w:tab w:val="left" w:pos="300"/>
              </w:tabs>
              <w:spacing w:before="120"/>
              <w:jc w:val="right"/>
              <w:rPr>
                <w:color w:val="4F81BD" w:themeColor="accent1"/>
                <w:sz w:val="18"/>
                <w:szCs w:val="18"/>
              </w:rPr>
            </w:pPr>
            <w:r w:rsidRPr="00CA7D2C">
              <w:rPr>
                <w:color w:val="000000" w:themeColor="text1"/>
              </w:rPr>
              <w:t>220</w:t>
            </w:r>
          </w:p>
        </w:tc>
        <w:tc>
          <w:tcPr>
            <w:tcW w:w="437"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jc w:val="right"/>
              <w:rPr>
                <w:color w:val="4F81BD" w:themeColor="accent1"/>
                <w:sz w:val="18"/>
                <w:szCs w:val="18"/>
              </w:rPr>
            </w:pPr>
            <w:r w:rsidRPr="00CA7D2C">
              <w:rPr>
                <w:color w:val="000000" w:themeColor="text1"/>
              </w:rPr>
              <w:t>0</w:t>
            </w:r>
          </w:p>
        </w:tc>
        <w:tc>
          <w:tcPr>
            <w:tcW w:w="437"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jc w:val="right"/>
              <w:rPr>
                <w:color w:val="4F81BD" w:themeColor="accent1"/>
                <w:sz w:val="18"/>
                <w:szCs w:val="18"/>
              </w:rPr>
            </w:pPr>
            <w:r w:rsidRPr="00CA7D2C">
              <w:rPr>
                <w:color w:val="000000" w:themeColor="text1"/>
              </w:rPr>
              <w:t>220</w:t>
            </w:r>
          </w:p>
        </w:tc>
      </w:tr>
      <w:tr w:rsidR="00670405" w:rsidTr="00670405">
        <w:trPr>
          <w:cantSplit/>
        </w:trPr>
        <w:tc>
          <w:tcPr>
            <w:tcW w:w="640" w:type="pct"/>
            <w:tcBorders>
              <w:top w:val="single" w:sz="4" w:space="0" w:color="auto"/>
              <w:left w:val="single" w:sz="4" w:space="0" w:color="auto"/>
              <w:bottom w:val="single" w:sz="4" w:space="0" w:color="auto"/>
              <w:right w:val="single" w:sz="4" w:space="0" w:color="auto"/>
            </w:tcBorders>
            <w:hideMark/>
          </w:tcPr>
          <w:p w:rsidR="00670405" w:rsidRDefault="00670405" w:rsidP="00670405">
            <w:pPr>
              <w:spacing w:before="120"/>
              <w:rPr>
                <w:color w:val="0070C0"/>
                <w:lang w:val="en-US"/>
              </w:rPr>
            </w:pPr>
            <w:r w:rsidRPr="00503330">
              <w:t>Savannah burning projects located in the north of Australia</w:t>
            </w:r>
          </w:p>
        </w:tc>
        <w:tc>
          <w:tcPr>
            <w:tcW w:w="397" w:type="pct"/>
            <w:tcBorders>
              <w:top w:val="single" w:sz="4" w:space="0" w:color="auto"/>
              <w:left w:val="single" w:sz="4" w:space="0" w:color="auto"/>
              <w:bottom w:val="single" w:sz="4" w:space="0" w:color="auto"/>
              <w:right w:val="single" w:sz="4" w:space="0" w:color="auto"/>
            </w:tcBorders>
            <w:hideMark/>
          </w:tcPr>
          <w:p w:rsidR="00670405" w:rsidRDefault="00670405" w:rsidP="00670405">
            <w:pPr>
              <w:tabs>
                <w:tab w:val="left" w:pos="300"/>
              </w:tabs>
              <w:spacing w:before="120"/>
              <w:rPr>
                <w:color w:val="0070C0"/>
                <w:lang w:val="en-US"/>
              </w:rPr>
            </w:pPr>
            <w:r w:rsidRPr="00503330">
              <w:t>ACCU</w:t>
            </w:r>
          </w:p>
        </w:tc>
        <w:tc>
          <w:tcPr>
            <w:tcW w:w="514" w:type="pct"/>
            <w:tcBorders>
              <w:top w:val="single" w:sz="4" w:space="0" w:color="auto"/>
              <w:left w:val="single" w:sz="4" w:space="0" w:color="auto"/>
              <w:bottom w:val="single" w:sz="4" w:space="0" w:color="auto"/>
              <w:right w:val="single" w:sz="4" w:space="0" w:color="auto"/>
            </w:tcBorders>
            <w:hideMark/>
          </w:tcPr>
          <w:p w:rsidR="00670405" w:rsidRDefault="00670405" w:rsidP="00670405">
            <w:pPr>
              <w:spacing w:before="120"/>
              <w:rPr>
                <w:color w:val="0070C0"/>
                <w:lang w:val="en-US"/>
              </w:rPr>
            </w:pPr>
            <w:r w:rsidRPr="00CA7D2C">
              <w:rPr>
                <w:color w:val="000000" w:themeColor="text1"/>
                <w:lang w:val="en-US"/>
              </w:rPr>
              <w:t>Emissions Reduction Fund</w:t>
            </w:r>
          </w:p>
        </w:tc>
        <w:tc>
          <w:tcPr>
            <w:tcW w:w="554" w:type="pct"/>
            <w:tcBorders>
              <w:top w:val="single" w:sz="4" w:space="0" w:color="auto"/>
              <w:left w:val="single" w:sz="4" w:space="0" w:color="auto"/>
              <w:bottom w:val="single" w:sz="4" w:space="0" w:color="auto"/>
              <w:right w:val="single" w:sz="4" w:space="0" w:color="auto"/>
            </w:tcBorders>
            <w:hideMark/>
          </w:tcPr>
          <w:p w:rsidR="00670405" w:rsidRDefault="00670405" w:rsidP="00670405">
            <w:pPr>
              <w:spacing w:before="120"/>
              <w:rPr>
                <w:color w:val="0070C0"/>
                <w:lang w:val="en-US"/>
              </w:rPr>
            </w:pPr>
            <w:r w:rsidRPr="00CA7D2C">
              <w:rPr>
                <w:color w:val="000000" w:themeColor="text1"/>
              </w:rPr>
              <w:t>11/08/2018</w:t>
            </w:r>
          </w:p>
        </w:tc>
        <w:tc>
          <w:tcPr>
            <w:tcW w:w="736" w:type="pct"/>
            <w:tcBorders>
              <w:top w:val="single" w:sz="4" w:space="0" w:color="auto"/>
              <w:left w:val="single" w:sz="4" w:space="0" w:color="auto"/>
              <w:bottom w:val="single" w:sz="4" w:space="0" w:color="auto"/>
              <w:right w:val="single" w:sz="4" w:space="0" w:color="auto"/>
            </w:tcBorders>
            <w:hideMark/>
          </w:tcPr>
          <w:p w:rsidR="00670405" w:rsidRPr="00DA5DDE" w:rsidRDefault="00670405" w:rsidP="00670405">
            <w:pPr>
              <w:spacing w:before="120"/>
              <w:rPr>
                <w:rFonts w:asciiTheme="minorBidi" w:hAnsiTheme="minorBidi"/>
                <w:color w:val="0070C0"/>
                <w:lang w:val="en-US"/>
              </w:rPr>
            </w:pPr>
            <w:r w:rsidRPr="00CA7D2C">
              <w:rPr>
                <w:color w:val="000000" w:themeColor="text1"/>
              </w:rPr>
              <w:t>3,768,791,304 - 3,768,791,</w:t>
            </w:r>
            <w:r>
              <w:rPr>
                <w:color w:val="000000" w:themeColor="text1"/>
              </w:rPr>
              <w:t>346</w:t>
            </w:r>
          </w:p>
        </w:tc>
        <w:tc>
          <w:tcPr>
            <w:tcW w:w="401" w:type="pct"/>
            <w:tcBorders>
              <w:top w:val="single" w:sz="4" w:space="0" w:color="auto"/>
              <w:left w:val="single" w:sz="4" w:space="0" w:color="auto"/>
              <w:bottom w:val="single" w:sz="4" w:space="0" w:color="auto"/>
              <w:right w:val="single" w:sz="4" w:space="0" w:color="auto"/>
            </w:tcBorders>
            <w:hideMark/>
          </w:tcPr>
          <w:p w:rsidR="00670405" w:rsidRDefault="00670405" w:rsidP="00670405">
            <w:pPr>
              <w:spacing w:before="120"/>
              <w:jc w:val="right"/>
              <w:rPr>
                <w:color w:val="0070C0"/>
                <w:lang w:val="en-US"/>
              </w:rPr>
            </w:pPr>
            <w:r w:rsidRPr="00CA7D2C">
              <w:rPr>
                <w:color w:val="000000" w:themeColor="text1"/>
                <w:lang w:val="en-US"/>
              </w:rPr>
              <w:t>2013+</w:t>
            </w:r>
          </w:p>
        </w:tc>
        <w:tc>
          <w:tcPr>
            <w:tcW w:w="437" w:type="pct"/>
            <w:tcBorders>
              <w:top w:val="single" w:sz="4" w:space="0" w:color="auto"/>
              <w:left w:val="single" w:sz="4" w:space="0" w:color="auto"/>
              <w:bottom w:val="single" w:sz="4" w:space="0" w:color="auto"/>
              <w:right w:val="single" w:sz="4" w:space="0" w:color="auto"/>
            </w:tcBorders>
            <w:hideMark/>
          </w:tcPr>
          <w:p w:rsidR="00670405" w:rsidRDefault="00670405" w:rsidP="00670405">
            <w:pPr>
              <w:spacing w:before="120"/>
              <w:jc w:val="right"/>
              <w:rPr>
                <w:color w:val="0070C0"/>
                <w:lang w:val="en-US"/>
              </w:rPr>
            </w:pPr>
            <w:r w:rsidRPr="00CA7D2C">
              <w:rPr>
                <w:color w:val="000000" w:themeColor="text1"/>
                <w:lang w:val="en-US"/>
              </w:rPr>
              <w:t>43</w:t>
            </w:r>
          </w:p>
        </w:tc>
        <w:tc>
          <w:tcPr>
            <w:tcW w:w="446" w:type="pct"/>
            <w:tcBorders>
              <w:top w:val="single" w:sz="4" w:space="0" w:color="auto"/>
              <w:left w:val="single" w:sz="4" w:space="0" w:color="auto"/>
              <w:bottom w:val="single" w:sz="4" w:space="0" w:color="auto"/>
              <w:right w:val="single" w:sz="4" w:space="0" w:color="auto"/>
            </w:tcBorders>
          </w:tcPr>
          <w:p w:rsidR="00670405" w:rsidRPr="008A0002" w:rsidRDefault="00670405" w:rsidP="00670405">
            <w:pPr>
              <w:spacing w:before="120"/>
              <w:jc w:val="right"/>
              <w:rPr>
                <w:color w:val="000000" w:themeColor="text1"/>
              </w:rPr>
            </w:pPr>
            <w:r w:rsidRPr="00CA7D2C">
              <w:rPr>
                <w:color w:val="000000" w:themeColor="text1"/>
              </w:rPr>
              <w:t>43</w:t>
            </w:r>
          </w:p>
        </w:tc>
        <w:tc>
          <w:tcPr>
            <w:tcW w:w="437" w:type="pct"/>
            <w:tcBorders>
              <w:top w:val="single" w:sz="4" w:space="0" w:color="auto"/>
              <w:left w:val="single" w:sz="4" w:space="0" w:color="auto"/>
              <w:bottom w:val="single" w:sz="4" w:space="0" w:color="auto"/>
              <w:right w:val="single" w:sz="4" w:space="0" w:color="auto"/>
            </w:tcBorders>
          </w:tcPr>
          <w:p w:rsidR="00670405" w:rsidRPr="008A0002" w:rsidRDefault="00670405" w:rsidP="00670405">
            <w:pPr>
              <w:spacing w:before="120"/>
              <w:jc w:val="right"/>
              <w:rPr>
                <w:color w:val="000000" w:themeColor="text1"/>
              </w:rPr>
            </w:pPr>
            <w:r w:rsidRPr="00CA7D2C">
              <w:rPr>
                <w:color w:val="000000" w:themeColor="text1"/>
              </w:rPr>
              <w:t>0</w:t>
            </w:r>
          </w:p>
        </w:tc>
        <w:tc>
          <w:tcPr>
            <w:tcW w:w="437" w:type="pct"/>
            <w:tcBorders>
              <w:top w:val="single" w:sz="4" w:space="0" w:color="auto"/>
              <w:left w:val="single" w:sz="4" w:space="0" w:color="auto"/>
              <w:bottom w:val="single" w:sz="4" w:space="0" w:color="auto"/>
              <w:right w:val="single" w:sz="4" w:space="0" w:color="auto"/>
            </w:tcBorders>
          </w:tcPr>
          <w:p w:rsidR="00670405" w:rsidRPr="008A0002" w:rsidRDefault="00670405" w:rsidP="00670405">
            <w:pPr>
              <w:spacing w:before="120"/>
              <w:jc w:val="right"/>
              <w:rPr>
                <w:color w:val="000000" w:themeColor="text1"/>
              </w:rPr>
            </w:pPr>
            <w:r w:rsidRPr="00CA7D2C">
              <w:rPr>
                <w:color w:val="000000" w:themeColor="text1"/>
              </w:rPr>
              <w:t>43</w:t>
            </w:r>
          </w:p>
        </w:tc>
      </w:tr>
    </w:tbl>
    <w:p w:rsidR="00EA185E" w:rsidRDefault="00EA185E">
      <w:pPr>
        <w:spacing w:before="0" w:after="0" w:line="240" w:lineRule="auto"/>
      </w:pPr>
    </w:p>
    <w:tbl>
      <w:tblPr>
        <w:tblStyle w:val="TableGrid11"/>
        <w:tblW w:w="5000" w:type="pct"/>
        <w:tblLook w:val="04A0" w:firstRow="1" w:lastRow="0" w:firstColumn="1" w:lastColumn="0" w:noHBand="0" w:noVBand="1"/>
      </w:tblPr>
      <w:tblGrid>
        <w:gridCol w:w="9894"/>
        <w:gridCol w:w="1558"/>
        <w:gridCol w:w="1526"/>
        <w:gridCol w:w="1526"/>
      </w:tblGrid>
      <w:tr w:rsidR="00EA185E" w:rsidTr="00902EE8">
        <w:trPr>
          <w:cantSplit/>
          <w:tblHeader/>
        </w:trPr>
        <w:tc>
          <w:tcPr>
            <w:tcW w:w="3410"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b/>
                <w:i/>
                <w:color w:val="000000" w:themeColor="text1"/>
                <w:sz w:val="24"/>
                <w:szCs w:val="20"/>
              </w:rPr>
            </w:pPr>
            <w:bookmarkStart w:id="43" w:name="Title_14" w:colFirst="0" w:colLast="0"/>
            <w:r>
              <w:br w:type="page"/>
            </w:r>
          </w:p>
        </w:tc>
        <w:tc>
          <w:tcPr>
            <w:tcW w:w="537"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color w:val="000000" w:themeColor="text1"/>
                <w:sz w:val="20"/>
                <w:szCs w:val="20"/>
              </w:rPr>
            </w:pPr>
            <w:r>
              <w:rPr>
                <w:b/>
                <w:i/>
                <w:sz w:val="20"/>
                <w:szCs w:val="20"/>
                <w:lang w:val="en-US"/>
              </w:rPr>
              <w:t>Quantity used for previous report</w:t>
            </w: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Pr>
                <w:b/>
                <w:i/>
                <w:sz w:val="20"/>
                <w:szCs w:val="20"/>
                <w:lang w:val="en-US"/>
              </w:rPr>
              <w:t xml:space="preserve">Quantity to be banked for future years </w:t>
            </w: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Pr>
                <w:b/>
                <w:i/>
                <w:sz w:val="20"/>
                <w:szCs w:val="20"/>
                <w:lang w:val="en-US"/>
              </w:rPr>
              <w:t>Quantity to be used this report</w:t>
            </w:r>
          </w:p>
        </w:tc>
      </w:tr>
      <w:bookmarkEnd w:id="43"/>
      <w:tr w:rsidR="00EA185E" w:rsidTr="00EA185E">
        <w:trPr>
          <w:cantSplit/>
        </w:trPr>
        <w:tc>
          <w:tcPr>
            <w:tcW w:w="3410"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b/>
                <w:i/>
                <w:color w:val="000000" w:themeColor="text1"/>
              </w:rPr>
            </w:pPr>
            <w:r>
              <w:rPr>
                <w:b/>
                <w:i/>
                <w:color w:val="000000" w:themeColor="text1"/>
              </w:rPr>
              <w:t>Total offsets retired this report and used in this report</w:t>
            </w:r>
          </w:p>
        </w:tc>
        <w:tc>
          <w:tcPr>
            <w:tcW w:w="537"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color w:val="000000" w:themeColor="text1"/>
                <w:szCs w:val="20"/>
              </w:rPr>
            </w:pP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sidRPr="00D5158A">
              <w:rPr>
                <w:color w:val="000000" w:themeColor="text1"/>
              </w:rPr>
              <w:t>773</w:t>
            </w:r>
          </w:p>
        </w:tc>
      </w:tr>
      <w:tr w:rsidR="00EA185E" w:rsidTr="00EA185E">
        <w:trPr>
          <w:cantSplit/>
        </w:trPr>
        <w:tc>
          <w:tcPr>
            <w:tcW w:w="3410" w:type="pct"/>
            <w:tcBorders>
              <w:top w:val="single" w:sz="4" w:space="0" w:color="auto"/>
              <w:left w:val="single" w:sz="4" w:space="0" w:color="auto"/>
              <w:bottom w:val="single" w:sz="4" w:space="0" w:color="auto"/>
              <w:right w:val="single" w:sz="4" w:space="0" w:color="auto"/>
            </w:tcBorders>
            <w:hideMark/>
          </w:tcPr>
          <w:p w:rsidR="00EA185E" w:rsidRDefault="00EA185E" w:rsidP="00EA185E">
            <w:pPr>
              <w:spacing w:before="120"/>
              <w:jc w:val="right"/>
              <w:rPr>
                <w:b/>
                <w:i/>
                <w:color w:val="000000" w:themeColor="text1"/>
                <w:sz w:val="24"/>
                <w:szCs w:val="20"/>
              </w:rPr>
            </w:pPr>
            <w:r>
              <w:rPr>
                <w:b/>
                <w:i/>
                <w:color w:val="000000" w:themeColor="text1"/>
              </w:rPr>
              <w:t>Total offsets retired this report and banked for future reports</w:t>
            </w:r>
          </w:p>
        </w:tc>
        <w:tc>
          <w:tcPr>
            <w:tcW w:w="537" w:type="pct"/>
            <w:tcBorders>
              <w:top w:val="single" w:sz="4" w:space="0" w:color="auto"/>
              <w:left w:val="single" w:sz="4" w:space="0" w:color="auto"/>
              <w:bottom w:val="single" w:sz="4" w:space="0" w:color="auto"/>
              <w:right w:val="single" w:sz="4" w:space="0" w:color="auto"/>
            </w:tcBorders>
          </w:tcPr>
          <w:p w:rsidR="00EA185E" w:rsidRDefault="00EA185E" w:rsidP="00EA185E">
            <w:pPr>
              <w:spacing w:before="120"/>
              <w:jc w:val="right"/>
              <w:rPr>
                <w:color w:val="000000" w:themeColor="text1"/>
                <w:sz w:val="20"/>
                <w:szCs w:val="20"/>
              </w:rPr>
            </w:pP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r w:rsidRPr="00D5158A">
              <w:rPr>
                <w:color w:val="000000" w:themeColor="text1"/>
              </w:rPr>
              <w:t>0</w:t>
            </w:r>
          </w:p>
        </w:tc>
        <w:tc>
          <w:tcPr>
            <w:tcW w:w="526" w:type="pct"/>
            <w:tcBorders>
              <w:top w:val="single" w:sz="4" w:space="0" w:color="auto"/>
              <w:left w:val="single" w:sz="4" w:space="0" w:color="auto"/>
              <w:bottom w:val="single" w:sz="4" w:space="0" w:color="auto"/>
              <w:right w:val="single" w:sz="4" w:space="0" w:color="auto"/>
            </w:tcBorders>
          </w:tcPr>
          <w:p w:rsidR="00EA185E" w:rsidRPr="00D5158A" w:rsidRDefault="00EA185E" w:rsidP="00EA185E">
            <w:pPr>
              <w:spacing w:before="120"/>
              <w:jc w:val="right"/>
              <w:rPr>
                <w:color w:val="000000" w:themeColor="text1"/>
              </w:rPr>
            </w:pPr>
          </w:p>
        </w:tc>
      </w:tr>
    </w:tbl>
    <w:p w:rsidR="00CE5833" w:rsidRDefault="00CE5833" w:rsidP="00667809">
      <w:pPr>
        <w:pStyle w:val="Heading2"/>
        <w:rPr>
          <w:spacing w:val="-1"/>
        </w:rPr>
        <w:sectPr w:rsidR="00CE5833" w:rsidSect="00CE5833">
          <w:endnotePr>
            <w:numFmt w:val="decimal"/>
          </w:endnotePr>
          <w:pgSz w:w="16840" w:h="11900" w:orient="landscape"/>
          <w:pgMar w:top="1134" w:right="1418" w:bottom="987" w:left="1134" w:header="709" w:footer="709" w:gutter="0"/>
          <w:cols w:space="708"/>
          <w:docGrid w:linePitch="360"/>
        </w:sectPr>
      </w:pPr>
    </w:p>
    <w:p w:rsidR="00667809" w:rsidRPr="00EA185E" w:rsidRDefault="00667809" w:rsidP="00667809">
      <w:pPr>
        <w:pStyle w:val="Heading2"/>
        <w:rPr>
          <w:spacing w:val="-1"/>
        </w:rPr>
      </w:pPr>
      <w:bookmarkStart w:id="44" w:name="_Toc47888225"/>
      <w:r w:rsidRPr="00EA185E">
        <w:rPr>
          <w:spacing w:val="-1"/>
        </w:rPr>
        <w:t>Co-benefits</w:t>
      </w:r>
      <w:bookmarkEnd w:id="44"/>
    </w:p>
    <w:p w:rsidR="00667809" w:rsidRPr="00C86566" w:rsidRDefault="00667809" w:rsidP="00EA185E">
      <w:pPr>
        <w:pStyle w:val="Heading3"/>
      </w:pPr>
      <w:bookmarkStart w:id="45" w:name="_Toc16518485"/>
      <w:bookmarkStart w:id="46" w:name="_Toc47888226"/>
      <w:r w:rsidRPr="00C86566">
        <w:t>Savannah burning - Australia</w:t>
      </w:r>
      <w:bookmarkEnd w:id="45"/>
      <w:bookmarkEnd w:id="46"/>
    </w:p>
    <w:p w:rsidR="00670405" w:rsidRDefault="00670405" w:rsidP="00670405">
      <w:pPr>
        <w:rPr>
          <w:lang w:eastAsia="en-AU"/>
        </w:rPr>
      </w:pPr>
      <w:r>
        <w:rPr>
          <w:lang w:eastAsia="en-AU"/>
        </w:rPr>
        <w:t>Avoiding emissions through actively managing fire regimes in the savannah grasslands of northern Australia.</w:t>
      </w:r>
    </w:p>
    <w:p w:rsidR="00670405" w:rsidRDefault="00670405" w:rsidP="00670405">
      <w:pPr>
        <w:rPr>
          <w:lang w:eastAsia="en-AU"/>
        </w:rPr>
      </w:pPr>
      <w:bookmarkStart w:id="47" w:name="_Toc16518486"/>
      <w:r>
        <w:rPr>
          <w:b/>
          <w:lang w:eastAsia="en-AU"/>
        </w:rPr>
        <w:t>Description:</w:t>
      </w:r>
      <w:r>
        <w:rPr>
          <w:lang w:eastAsia="en-AU"/>
        </w:rPr>
        <w:t xml:space="preserve"> These projects help avoid emissions associated with high intensity grass</w:t>
      </w:r>
      <w:r>
        <w:rPr>
          <w:rFonts w:hint="eastAsia"/>
          <w:lang w:eastAsia="en-AU"/>
        </w:rPr>
        <w:t>fires</w:t>
      </w:r>
      <w:r>
        <w:rPr>
          <w:lang w:eastAsia="en-AU"/>
        </w:rPr>
        <w:t xml:space="preserve"> occurring seasonally in the north of Australia. Fire is introduced to the landscape through a mosaic burning regime wherein burning off is conducted during the early stages of the dry season, resulting in reduced incidence of high</w:t>
      </w:r>
      <w:r>
        <w:rPr>
          <w:rFonts w:hint="eastAsia"/>
          <w:lang w:eastAsia="en-AU"/>
        </w:rPr>
        <w:t>‐</w:t>
      </w:r>
      <w:r>
        <w:rPr>
          <w:lang w:eastAsia="en-AU"/>
        </w:rPr>
        <w:t>intensity wildfires, typically occurring toward the end of the dry season. Projects include a high level of engagement and capacity development within the Aboriginal and Torres Strait Islander community.</w:t>
      </w:r>
    </w:p>
    <w:p w:rsidR="00670405" w:rsidRDefault="00670405" w:rsidP="00670405">
      <w:pPr>
        <w:rPr>
          <w:lang w:eastAsia="en-AU"/>
        </w:rPr>
      </w:pPr>
      <w:r>
        <w:rPr>
          <w:b/>
          <w:lang w:eastAsia="en-AU"/>
        </w:rPr>
        <w:t>Co-benefits</w:t>
      </w:r>
      <w:r>
        <w:rPr>
          <w:lang w:eastAsia="en-AU"/>
        </w:rPr>
        <w:t>: Promotion of capacity, skills development and employment in Aboriginal and Torres Strait Islander communities. Promoting indigenous cultural values through linking indigenous cultural practice with revenue generating opportunities. Diversification of revenue streams and job opportunities in remote communities.  Improved habitat value and biodiversity through introduction of mosaic fire regime and reduction of wildfire impacts.</w:t>
      </w:r>
    </w:p>
    <w:p w:rsidR="00667809" w:rsidRPr="0053548B" w:rsidRDefault="00667809" w:rsidP="00667809">
      <w:pPr>
        <w:pStyle w:val="Heading1"/>
        <w:rPr>
          <w:spacing w:val="-1"/>
          <w:szCs w:val="28"/>
        </w:rPr>
      </w:pPr>
      <w:bookmarkStart w:id="48" w:name="5._Use_of_trade_mark"/>
      <w:bookmarkStart w:id="49" w:name="_Toc47888227"/>
      <w:bookmarkEnd w:id="47"/>
      <w:bookmarkEnd w:id="48"/>
      <w:r w:rsidRPr="0053548B">
        <w:rPr>
          <w:spacing w:val="-1"/>
          <w:szCs w:val="28"/>
        </w:rPr>
        <w:t>5. Use of trade mark</w:t>
      </w:r>
      <w:bookmarkEnd w:id="49"/>
    </w:p>
    <w:p w:rsidR="00667809" w:rsidRPr="0053548B" w:rsidRDefault="00EA185E" w:rsidP="00EA185E">
      <w:pPr>
        <w:pStyle w:val="Heading3"/>
        <w:rPr>
          <w:color w:val="000000" w:themeColor="text1"/>
        </w:rPr>
      </w:pPr>
      <w:bookmarkStart w:id="50" w:name="_Toc47888228"/>
      <w:r>
        <w:t>Table 9 Use of trade mark</w:t>
      </w:r>
      <w:bookmarkEnd w:id="50"/>
    </w:p>
    <w:tbl>
      <w:tblPr>
        <w:tblW w:w="0" w:type="auto"/>
        <w:tblInd w:w="107" w:type="dxa"/>
        <w:tblLayout w:type="fixed"/>
        <w:tblCellMar>
          <w:left w:w="85" w:type="dxa"/>
          <w:right w:w="85" w:type="dxa"/>
        </w:tblCellMar>
        <w:tblLook w:val="01E0" w:firstRow="1" w:lastRow="1" w:firstColumn="1" w:lastColumn="1" w:noHBand="0" w:noVBand="0"/>
      </w:tblPr>
      <w:tblGrid>
        <w:gridCol w:w="5496"/>
        <w:gridCol w:w="3747"/>
      </w:tblGrid>
      <w:tr w:rsidR="00667809" w:rsidRPr="00EA185E" w:rsidTr="00902EE8">
        <w:trPr>
          <w:trHeight w:hRule="exact" w:val="691"/>
          <w:tblHeader/>
        </w:trPr>
        <w:tc>
          <w:tcPr>
            <w:tcW w:w="54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7809" w:rsidRPr="00EA185E" w:rsidRDefault="00667809" w:rsidP="00667809">
            <w:pPr>
              <w:rPr>
                <w:b/>
                <w:bCs/>
              </w:rPr>
            </w:pPr>
            <w:bookmarkStart w:id="51" w:name="ColumnTitle_15"/>
            <w:r w:rsidRPr="00EA185E">
              <w:rPr>
                <w:b/>
                <w:bCs/>
              </w:rPr>
              <w:t>Description where trademark used</w:t>
            </w:r>
          </w:p>
        </w:tc>
        <w:tc>
          <w:tcPr>
            <w:tcW w:w="374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667809" w:rsidRPr="00EA185E" w:rsidRDefault="00667809" w:rsidP="00667809">
            <w:pPr>
              <w:rPr>
                <w:b/>
                <w:bCs/>
              </w:rPr>
            </w:pPr>
            <w:r w:rsidRPr="00EA185E">
              <w:rPr>
                <w:b/>
                <w:bCs/>
              </w:rPr>
              <w:t>Logo type</w:t>
            </w:r>
          </w:p>
        </w:tc>
      </w:tr>
      <w:bookmarkEnd w:id="51"/>
      <w:tr w:rsidR="00EE49BD" w:rsidRPr="00A0432B" w:rsidTr="00667809">
        <w:trPr>
          <w:trHeight w:val="397"/>
        </w:trPr>
        <w:tc>
          <w:tcPr>
            <w:tcW w:w="5496" w:type="dxa"/>
            <w:tcBorders>
              <w:top w:val="single" w:sz="5" w:space="0" w:color="000000"/>
              <w:left w:val="single" w:sz="5" w:space="0" w:color="000000"/>
              <w:bottom w:val="single" w:sz="7" w:space="0" w:color="000000"/>
              <w:right w:val="single" w:sz="5" w:space="0" w:color="000000"/>
            </w:tcBorders>
            <w:vAlign w:val="center"/>
          </w:tcPr>
          <w:p w:rsidR="00EE49BD" w:rsidRPr="00C86566" w:rsidRDefault="00EE49BD" w:rsidP="00EE49BD">
            <w:pPr>
              <w:rPr>
                <w:color w:val="000000" w:themeColor="text1"/>
              </w:rPr>
            </w:pPr>
            <w:r w:rsidRPr="00F85CA2">
              <w:rPr>
                <w:color w:val="000000" w:themeColor="text1"/>
              </w:rPr>
              <w:t>City of Melbourne and Melbourne Music Week websites</w:t>
            </w:r>
          </w:p>
        </w:tc>
        <w:tc>
          <w:tcPr>
            <w:tcW w:w="3747" w:type="dxa"/>
            <w:tcBorders>
              <w:top w:val="single" w:sz="5" w:space="0" w:color="000000"/>
              <w:left w:val="single" w:sz="5" w:space="0" w:color="000000"/>
              <w:bottom w:val="single" w:sz="7" w:space="0" w:color="000000"/>
              <w:right w:val="single" w:sz="5" w:space="0" w:color="000000"/>
            </w:tcBorders>
            <w:vAlign w:val="center"/>
          </w:tcPr>
          <w:p w:rsidR="00EE49BD" w:rsidRPr="00C86566" w:rsidRDefault="00EE49BD" w:rsidP="00EE49BD">
            <w:pPr>
              <w:rPr>
                <w:color w:val="000000" w:themeColor="text1"/>
              </w:rPr>
            </w:pPr>
            <w:r w:rsidRPr="00F85CA2">
              <w:rPr>
                <w:color w:val="000000" w:themeColor="text1"/>
                <w:lang w:val="en-US"/>
              </w:rPr>
              <w:t>Certified Event</w:t>
            </w:r>
          </w:p>
        </w:tc>
      </w:tr>
      <w:tr w:rsidR="00EE49BD" w:rsidRPr="00A0432B" w:rsidTr="00667809">
        <w:trPr>
          <w:trHeight w:val="397"/>
        </w:trPr>
        <w:tc>
          <w:tcPr>
            <w:tcW w:w="5496" w:type="dxa"/>
            <w:tcBorders>
              <w:top w:val="single" w:sz="7" w:space="0" w:color="000000"/>
              <w:left w:val="single" w:sz="5" w:space="0" w:color="000000"/>
              <w:bottom w:val="single" w:sz="5" w:space="0" w:color="000000"/>
              <w:right w:val="single" w:sz="5" w:space="0" w:color="000000"/>
            </w:tcBorders>
            <w:vAlign w:val="center"/>
          </w:tcPr>
          <w:p w:rsidR="00EE49BD" w:rsidRPr="00C86566" w:rsidRDefault="00EE49BD" w:rsidP="00EE49BD">
            <w:pPr>
              <w:rPr>
                <w:color w:val="000000" w:themeColor="text1"/>
              </w:rPr>
            </w:pPr>
            <w:r>
              <w:rPr>
                <w:color w:val="000000" w:themeColor="text1"/>
              </w:rPr>
              <w:t>Melbourne Music Week wrap-up video</w:t>
            </w:r>
          </w:p>
        </w:tc>
        <w:tc>
          <w:tcPr>
            <w:tcW w:w="3747" w:type="dxa"/>
            <w:tcBorders>
              <w:top w:val="single" w:sz="7" w:space="0" w:color="000000"/>
              <w:left w:val="single" w:sz="5" w:space="0" w:color="000000"/>
              <w:bottom w:val="single" w:sz="5" w:space="0" w:color="000000"/>
              <w:right w:val="single" w:sz="5" w:space="0" w:color="000000"/>
            </w:tcBorders>
            <w:vAlign w:val="center"/>
          </w:tcPr>
          <w:p w:rsidR="00EE49BD" w:rsidRPr="00C86566" w:rsidRDefault="00EE49BD" w:rsidP="00EE49BD">
            <w:pPr>
              <w:rPr>
                <w:color w:val="000000" w:themeColor="text1"/>
              </w:rPr>
            </w:pPr>
            <w:r w:rsidRPr="00F85CA2">
              <w:rPr>
                <w:color w:val="000000" w:themeColor="text1"/>
                <w:lang w:val="en-US"/>
              </w:rPr>
              <w:t>Certified Event</w:t>
            </w:r>
          </w:p>
        </w:tc>
      </w:tr>
      <w:tr w:rsidR="00EE49BD" w:rsidRPr="00A0432B" w:rsidTr="00667809">
        <w:trPr>
          <w:trHeight w:val="397"/>
        </w:trPr>
        <w:tc>
          <w:tcPr>
            <w:tcW w:w="5496" w:type="dxa"/>
            <w:tcBorders>
              <w:top w:val="single" w:sz="5" w:space="0" w:color="000000"/>
              <w:left w:val="single" w:sz="5" w:space="0" w:color="000000"/>
              <w:bottom w:val="single" w:sz="5" w:space="0" w:color="000000"/>
              <w:right w:val="single" w:sz="5" w:space="0" w:color="000000"/>
            </w:tcBorders>
            <w:vAlign w:val="center"/>
          </w:tcPr>
          <w:p w:rsidR="00EE49BD" w:rsidRPr="00C86566" w:rsidRDefault="00EE49BD" w:rsidP="00EE49BD">
            <w:pPr>
              <w:rPr>
                <w:color w:val="000000" w:themeColor="text1"/>
              </w:rPr>
            </w:pPr>
            <w:r>
              <w:rPr>
                <w:color w:val="000000" w:themeColor="text1"/>
              </w:rPr>
              <w:t>Melbourne Music Week on-site hub signage</w:t>
            </w:r>
          </w:p>
        </w:tc>
        <w:tc>
          <w:tcPr>
            <w:tcW w:w="3747" w:type="dxa"/>
            <w:tcBorders>
              <w:top w:val="single" w:sz="5" w:space="0" w:color="000000"/>
              <w:left w:val="single" w:sz="5" w:space="0" w:color="000000"/>
              <w:bottom w:val="single" w:sz="5" w:space="0" w:color="000000"/>
              <w:right w:val="single" w:sz="5" w:space="0" w:color="000000"/>
            </w:tcBorders>
            <w:vAlign w:val="center"/>
          </w:tcPr>
          <w:p w:rsidR="00EE49BD" w:rsidRPr="00C86566" w:rsidRDefault="00EE49BD" w:rsidP="00EE49BD">
            <w:pPr>
              <w:rPr>
                <w:color w:val="000000" w:themeColor="text1"/>
              </w:rPr>
            </w:pPr>
            <w:r w:rsidRPr="00F85CA2">
              <w:rPr>
                <w:color w:val="000000" w:themeColor="text1"/>
                <w:lang w:val="en-US"/>
              </w:rPr>
              <w:t>Certified Event</w:t>
            </w:r>
          </w:p>
        </w:tc>
      </w:tr>
      <w:tr w:rsidR="00EE49BD" w:rsidRPr="00A0432B" w:rsidTr="00667809">
        <w:trPr>
          <w:trHeight w:val="397"/>
        </w:trPr>
        <w:tc>
          <w:tcPr>
            <w:tcW w:w="5496" w:type="dxa"/>
            <w:tcBorders>
              <w:top w:val="single" w:sz="5" w:space="0" w:color="000000"/>
              <w:left w:val="single" w:sz="5" w:space="0" w:color="000000"/>
              <w:bottom w:val="single" w:sz="5" w:space="0" w:color="000000"/>
              <w:right w:val="single" w:sz="5" w:space="0" w:color="000000"/>
            </w:tcBorders>
            <w:vAlign w:val="center"/>
          </w:tcPr>
          <w:p w:rsidR="00EE49BD" w:rsidRDefault="00EE49BD" w:rsidP="00EE49BD">
            <w:pPr>
              <w:rPr>
                <w:color w:val="000000" w:themeColor="text1"/>
              </w:rPr>
            </w:pPr>
            <w:r>
              <w:rPr>
                <w:color w:val="000000" w:themeColor="text1"/>
              </w:rPr>
              <w:t>Melbourne Music Week participating venues stickers</w:t>
            </w:r>
          </w:p>
        </w:tc>
        <w:tc>
          <w:tcPr>
            <w:tcW w:w="3747" w:type="dxa"/>
            <w:tcBorders>
              <w:top w:val="single" w:sz="5" w:space="0" w:color="000000"/>
              <w:left w:val="single" w:sz="5" w:space="0" w:color="000000"/>
              <w:bottom w:val="single" w:sz="5" w:space="0" w:color="000000"/>
              <w:right w:val="single" w:sz="5" w:space="0" w:color="000000"/>
            </w:tcBorders>
            <w:vAlign w:val="center"/>
          </w:tcPr>
          <w:p w:rsidR="00EE49BD" w:rsidRPr="00C86566" w:rsidRDefault="00EE49BD" w:rsidP="00EE49BD">
            <w:pPr>
              <w:rPr>
                <w:color w:val="000000" w:themeColor="text1"/>
                <w:lang w:val="en-US"/>
              </w:rPr>
            </w:pPr>
            <w:r w:rsidRPr="00F85CA2">
              <w:rPr>
                <w:color w:val="000000" w:themeColor="text1"/>
                <w:lang w:val="en-US"/>
              </w:rPr>
              <w:t>Certified Event</w:t>
            </w:r>
          </w:p>
        </w:tc>
      </w:tr>
    </w:tbl>
    <w:p w:rsidR="007A15BF" w:rsidRDefault="007A15BF" w:rsidP="00EA185E">
      <w:pPr>
        <w:pStyle w:val="Heading1"/>
        <w:rPr>
          <w:spacing w:val="-1"/>
          <w:szCs w:val="28"/>
        </w:rPr>
        <w:sectPr w:rsidR="007A15BF" w:rsidSect="00EF11AE">
          <w:endnotePr>
            <w:numFmt w:val="decimal"/>
          </w:endnotePr>
          <w:pgSz w:w="11900" w:h="16840"/>
          <w:pgMar w:top="1418" w:right="987" w:bottom="1134" w:left="1134" w:header="709" w:footer="709" w:gutter="0"/>
          <w:cols w:space="708"/>
          <w:docGrid w:linePitch="360"/>
        </w:sectPr>
      </w:pPr>
      <w:bookmarkStart w:id="52" w:name="6._Have_you_done_more?"/>
      <w:bookmarkStart w:id="53" w:name="_Toc47888229"/>
      <w:bookmarkEnd w:id="52"/>
    </w:p>
    <w:p w:rsidR="00667809" w:rsidRPr="0053548B" w:rsidRDefault="00EA185E" w:rsidP="00EA185E">
      <w:pPr>
        <w:pStyle w:val="Heading1"/>
        <w:rPr>
          <w:spacing w:val="-1"/>
          <w:szCs w:val="28"/>
        </w:rPr>
      </w:pPr>
      <w:r>
        <w:rPr>
          <w:spacing w:val="-1"/>
          <w:szCs w:val="28"/>
        </w:rPr>
        <w:t>6</w:t>
      </w:r>
      <w:r w:rsidR="00667809" w:rsidRPr="0053548B">
        <w:rPr>
          <w:spacing w:val="-1"/>
          <w:szCs w:val="28"/>
        </w:rPr>
        <w:t xml:space="preserve">. </w:t>
      </w:r>
      <w:r w:rsidR="00667809">
        <w:rPr>
          <w:spacing w:val="-1"/>
          <w:szCs w:val="28"/>
        </w:rPr>
        <w:t>Additional information</w:t>
      </w:r>
      <w:bookmarkEnd w:id="53"/>
    </w:p>
    <w:p w:rsidR="00667809" w:rsidRPr="00EA185E" w:rsidRDefault="00667809" w:rsidP="00EA185E">
      <w:pPr>
        <w:pStyle w:val="Heading2"/>
      </w:pPr>
      <w:bookmarkStart w:id="54" w:name="_Toc47888230"/>
      <w:r w:rsidRPr="008B64AA">
        <w:t>Appendix 1</w:t>
      </w:r>
      <w:r>
        <w:t xml:space="preserve"> -</w:t>
      </w:r>
      <w:r w:rsidRPr="008B64AA">
        <w:t xml:space="preserve"> Excluded emissions</w:t>
      </w:r>
      <w:bookmarkEnd w:id="54"/>
      <w:r w:rsidRPr="008B64AA">
        <w:t xml:space="preserve"> </w:t>
      </w:r>
    </w:p>
    <w:p w:rsidR="00667809" w:rsidRDefault="00667809" w:rsidP="00667809">
      <w:r>
        <w:t>To be deemed relevant, an emission must meet two of the five relevance criteria. Excluded emissions are detailed below against each of the five criteria.</w:t>
      </w:r>
    </w:p>
    <w:p w:rsidR="00EA185E" w:rsidRDefault="00EA185E" w:rsidP="00EA185E">
      <w:pPr>
        <w:pStyle w:val="Heading3"/>
      </w:pPr>
      <w:bookmarkStart w:id="55" w:name="_Toc47888231"/>
      <w:r>
        <w:t>Relevance Test</w:t>
      </w:r>
      <w:bookmarkEnd w:id="55"/>
    </w:p>
    <w:tbl>
      <w:tblPr>
        <w:tblStyle w:val="TableGrid"/>
        <w:tblW w:w="14485" w:type="dxa"/>
        <w:tblLook w:val="04A0" w:firstRow="1" w:lastRow="0" w:firstColumn="1" w:lastColumn="0" w:noHBand="0" w:noVBand="1"/>
      </w:tblPr>
      <w:tblGrid>
        <w:gridCol w:w="2568"/>
        <w:gridCol w:w="2383"/>
        <w:gridCol w:w="2383"/>
        <w:gridCol w:w="2384"/>
        <w:gridCol w:w="2383"/>
        <w:gridCol w:w="2384"/>
      </w:tblGrid>
      <w:tr w:rsidR="00667809" w:rsidRPr="008C6D07" w:rsidTr="00C50690">
        <w:trPr>
          <w:tblHeader/>
        </w:trPr>
        <w:tc>
          <w:tcPr>
            <w:tcW w:w="2568" w:type="dxa"/>
            <w:shd w:val="clear" w:color="auto" w:fill="D9D9D9" w:themeFill="background1" w:themeFillShade="D9"/>
          </w:tcPr>
          <w:p w:rsidR="00667809" w:rsidRPr="008C6D07" w:rsidRDefault="00667809" w:rsidP="00667809">
            <w:pPr>
              <w:rPr>
                <w:b/>
              </w:rPr>
            </w:pPr>
            <w:bookmarkStart w:id="56" w:name="ColumnTitle_16"/>
            <w:r w:rsidRPr="008C6D07">
              <w:rPr>
                <w:b/>
              </w:rPr>
              <w:t xml:space="preserve">Excluded </w:t>
            </w:r>
            <w:r>
              <w:rPr>
                <w:b/>
              </w:rPr>
              <w:t>e</w:t>
            </w:r>
            <w:r w:rsidRPr="008C6D07">
              <w:rPr>
                <w:b/>
              </w:rPr>
              <w:t>mission</w:t>
            </w:r>
          </w:p>
        </w:tc>
        <w:tc>
          <w:tcPr>
            <w:tcW w:w="2383" w:type="dxa"/>
            <w:shd w:val="clear" w:color="auto" w:fill="D9D9D9" w:themeFill="background1" w:themeFillShade="D9"/>
          </w:tcPr>
          <w:p w:rsidR="00667809" w:rsidRPr="008C6D07" w:rsidRDefault="00667809" w:rsidP="00667809">
            <w:pPr>
              <w:rPr>
                <w:b/>
                <w:i/>
              </w:rPr>
            </w:pPr>
            <w:r w:rsidRPr="008C6D07">
              <w:rPr>
                <w:b/>
                <w:i/>
              </w:rPr>
              <w:t>The emissions from a particular source are likely to be large relative to the organisation’s electricity, stationary energy and fuel emissions</w:t>
            </w:r>
          </w:p>
        </w:tc>
        <w:tc>
          <w:tcPr>
            <w:tcW w:w="2383" w:type="dxa"/>
            <w:shd w:val="clear" w:color="auto" w:fill="D9D9D9" w:themeFill="background1" w:themeFillShade="D9"/>
          </w:tcPr>
          <w:p w:rsidR="00667809" w:rsidRPr="008C6D07" w:rsidRDefault="00667809" w:rsidP="00667809">
            <w:pPr>
              <w:rPr>
                <w:b/>
                <w:i/>
              </w:rPr>
            </w:pPr>
            <w:r w:rsidRPr="008C6D07">
              <w:rPr>
                <w:b/>
                <w:i/>
              </w:rPr>
              <w:t>The emissions from a particular source contribute to the organisation’s greenhouse gas risk exposure.</w:t>
            </w:r>
          </w:p>
          <w:p w:rsidR="00667809" w:rsidRPr="008C6D07" w:rsidRDefault="00667809" w:rsidP="00667809">
            <w:pPr>
              <w:rPr>
                <w:b/>
                <w:i/>
              </w:rPr>
            </w:pPr>
          </w:p>
        </w:tc>
        <w:tc>
          <w:tcPr>
            <w:tcW w:w="2384" w:type="dxa"/>
            <w:shd w:val="clear" w:color="auto" w:fill="D9D9D9" w:themeFill="background1" w:themeFillShade="D9"/>
          </w:tcPr>
          <w:p w:rsidR="00667809" w:rsidRPr="008C6D07" w:rsidRDefault="00667809" w:rsidP="00667809">
            <w:pPr>
              <w:rPr>
                <w:b/>
                <w:i/>
              </w:rPr>
            </w:pPr>
            <w:r w:rsidRPr="008C6D07">
              <w:rPr>
                <w:b/>
                <w:i/>
              </w:rPr>
              <w:t>Key stakeholders deem the emissions from a particular source are relevant.</w:t>
            </w:r>
          </w:p>
          <w:p w:rsidR="00667809" w:rsidRPr="008C6D07" w:rsidRDefault="00667809" w:rsidP="00667809">
            <w:pPr>
              <w:rPr>
                <w:b/>
                <w:i/>
              </w:rPr>
            </w:pPr>
          </w:p>
        </w:tc>
        <w:tc>
          <w:tcPr>
            <w:tcW w:w="2383" w:type="dxa"/>
            <w:shd w:val="clear" w:color="auto" w:fill="D9D9D9" w:themeFill="background1" w:themeFillShade="D9"/>
          </w:tcPr>
          <w:p w:rsidR="00667809" w:rsidRPr="008C6D07" w:rsidRDefault="00667809" w:rsidP="00667809">
            <w:pPr>
              <w:rPr>
                <w:b/>
                <w:i/>
              </w:rPr>
            </w:pPr>
            <w:r w:rsidRPr="008C6D07">
              <w:rPr>
                <w:b/>
                <w:i/>
              </w:rPr>
              <w:t>The responsible entity has the potential to influence the reduction of emissions from a particular source.</w:t>
            </w:r>
          </w:p>
          <w:p w:rsidR="00667809" w:rsidRPr="008C6D07" w:rsidRDefault="00667809" w:rsidP="00667809">
            <w:pPr>
              <w:rPr>
                <w:b/>
                <w:i/>
              </w:rPr>
            </w:pPr>
          </w:p>
        </w:tc>
        <w:tc>
          <w:tcPr>
            <w:tcW w:w="2384" w:type="dxa"/>
            <w:shd w:val="clear" w:color="auto" w:fill="D9D9D9" w:themeFill="background1" w:themeFillShade="D9"/>
          </w:tcPr>
          <w:p w:rsidR="00667809" w:rsidRPr="008C6D07" w:rsidRDefault="00667809" w:rsidP="00667809">
            <w:pPr>
              <w:rPr>
                <w:b/>
                <w:i/>
              </w:rPr>
            </w:pPr>
            <w:r w:rsidRPr="008C6D07">
              <w:rPr>
                <w:b/>
                <w:i/>
              </w:rPr>
              <w:t>The emissions are from outsourced activities previously undertaken within the organisation’s boundary, or from outsourced activities typically undertaken within the boundary for comparable organisations.</w:t>
            </w:r>
          </w:p>
        </w:tc>
      </w:tr>
      <w:bookmarkEnd w:id="56"/>
      <w:tr w:rsidR="00EE49BD" w:rsidTr="00C50690">
        <w:tc>
          <w:tcPr>
            <w:tcW w:w="2568" w:type="dxa"/>
          </w:tcPr>
          <w:p w:rsidR="00EE49BD" w:rsidRDefault="00EE49BD" w:rsidP="00EE49BD">
            <w:r w:rsidRPr="00CA280E">
              <w:rPr>
                <w:rFonts w:hAnsi="Calibri"/>
                <w:color w:val="000000" w:themeColor="text1"/>
                <w:kern w:val="24"/>
              </w:rPr>
              <w:t>Contractor Vehicle Use</w:t>
            </w:r>
          </w:p>
        </w:tc>
        <w:tc>
          <w:tcPr>
            <w:tcW w:w="2383"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r>
      <w:tr w:rsidR="00EE49BD" w:rsidTr="00C50690">
        <w:tc>
          <w:tcPr>
            <w:tcW w:w="2568" w:type="dxa"/>
          </w:tcPr>
          <w:p w:rsidR="00EE49BD" w:rsidRDefault="00EE49BD" w:rsidP="00EE49BD">
            <w:r w:rsidRPr="00CA280E">
              <w:rPr>
                <w:rFonts w:hAnsi="Calibri"/>
                <w:color w:val="000000" w:themeColor="text1"/>
                <w:kern w:val="24"/>
              </w:rPr>
              <w:t>Portable Toilet Use</w:t>
            </w:r>
          </w:p>
        </w:tc>
        <w:tc>
          <w:tcPr>
            <w:tcW w:w="2383"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r>
      <w:tr w:rsidR="00EE49BD" w:rsidTr="00C50690">
        <w:tc>
          <w:tcPr>
            <w:tcW w:w="2568" w:type="dxa"/>
          </w:tcPr>
          <w:p w:rsidR="00EE49BD" w:rsidRDefault="00EE49BD" w:rsidP="00EE49BD">
            <w:r w:rsidRPr="00CA280E">
              <w:rPr>
                <w:rFonts w:hAnsi="Calibri"/>
                <w:color w:val="000000" w:themeColor="text1"/>
                <w:kern w:val="24"/>
              </w:rPr>
              <w:t>Attendee Accommodation</w:t>
            </w:r>
          </w:p>
        </w:tc>
        <w:tc>
          <w:tcPr>
            <w:tcW w:w="2383"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r>
      <w:tr w:rsidR="00EE49BD" w:rsidTr="00C50690">
        <w:tc>
          <w:tcPr>
            <w:tcW w:w="2568" w:type="dxa"/>
          </w:tcPr>
          <w:p w:rsidR="00EE49BD" w:rsidRDefault="00EE49BD" w:rsidP="00EE49BD">
            <w:r w:rsidRPr="00CA280E">
              <w:rPr>
                <w:rFonts w:hAnsi="Calibri"/>
                <w:color w:val="000000" w:themeColor="text1"/>
                <w:kern w:val="24"/>
              </w:rPr>
              <w:t>Warehouse Electricity Use</w:t>
            </w:r>
          </w:p>
        </w:tc>
        <w:tc>
          <w:tcPr>
            <w:tcW w:w="2383"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p>
        </w:tc>
      </w:tr>
      <w:tr w:rsidR="00EE49BD" w:rsidTr="00C50690">
        <w:tc>
          <w:tcPr>
            <w:tcW w:w="2568" w:type="dxa"/>
          </w:tcPr>
          <w:p w:rsidR="00EE49BD" w:rsidRDefault="00EE49BD" w:rsidP="00EE49BD">
            <w:r w:rsidRPr="00CA280E">
              <w:rPr>
                <w:rFonts w:hAnsi="Calibri"/>
                <w:color w:val="000000" w:themeColor="text1"/>
                <w:kern w:val="24"/>
              </w:rPr>
              <w:t>Cleaning Services</w:t>
            </w:r>
          </w:p>
        </w:tc>
        <w:tc>
          <w:tcPr>
            <w:tcW w:w="2383"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p>
        </w:tc>
      </w:tr>
      <w:tr w:rsidR="00EE49BD" w:rsidTr="00C50690">
        <w:tc>
          <w:tcPr>
            <w:tcW w:w="2568" w:type="dxa"/>
          </w:tcPr>
          <w:p w:rsidR="00EE49BD" w:rsidRDefault="00EE49BD" w:rsidP="00EE49BD">
            <w:r w:rsidRPr="00CA280E">
              <w:rPr>
                <w:rFonts w:hAnsi="Calibri"/>
                <w:color w:val="000000" w:themeColor="text1"/>
                <w:kern w:val="24"/>
              </w:rPr>
              <w:t>Staging/Equipment/Lighting Hire</w:t>
            </w:r>
          </w:p>
        </w:tc>
        <w:tc>
          <w:tcPr>
            <w:tcW w:w="2383"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c>
          <w:tcPr>
            <w:tcW w:w="2383" w:type="dxa"/>
          </w:tcPr>
          <w:p w:rsidR="00EE49BD" w:rsidRDefault="00EE49BD" w:rsidP="00EE49BD">
            <w:pPr>
              <w:jc w:val="center"/>
            </w:pPr>
            <w:r>
              <w:t>X</w:t>
            </w:r>
          </w:p>
        </w:tc>
        <w:tc>
          <w:tcPr>
            <w:tcW w:w="2384" w:type="dxa"/>
          </w:tcPr>
          <w:p w:rsidR="00EE49BD" w:rsidRDefault="00EE49BD" w:rsidP="00EE49BD">
            <w:pPr>
              <w:jc w:val="center"/>
            </w:pPr>
            <w:r>
              <w:t>X</w:t>
            </w:r>
          </w:p>
        </w:tc>
      </w:tr>
    </w:tbl>
    <w:p w:rsidR="00EA185E" w:rsidRDefault="00EA185E">
      <w:pPr>
        <w:spacing w:before="0" w:after="0" w:line="240" w:lineRule="auto"/>
        <w:rPr>
          <w:rFonts w:ascii="Arial Bold" w:eastAsia="MS Gothic" w:hAnsi="Arial Bold"/>
          <w:sz w:val="22"/>
          <w:szCs w:val="26"/>
          <w:lang w:val="en-US"/>
        </w:rPr>
      </w:pPr>
      <w:r>
        <w:br w:type="page"/>
      </w:r>
    </w:p>
    <w:p w:rsidR="00667809" w:rsidRPr="008B64AA" w:rsidRDefault="00667809" w:rsidP="00667809">
      <w:pPr>
        <w:pStyle w:val="Heading3"/>
      </w:pPr>
      <w:bookmarkStart w:id="57" w:name="_Toc47888232"/>
      <w:r w:rsidRPr="008B64AA">
        <w:t>Appendix 2 – ACCUs surrendered for Large Event Portfolio – pre-event</w:t>
      </w:r>
      <w:bookmarkEnd w:id="57"/>
    </w:p>
    <w:p w:rsidR="00667809" w:rsidRDefault="00667809" w:rsidP="00667809">
      <w:r>
        <w:rPr>
          <w:noProof/>
          <w:lang w:eastAsia="en-AU"/>
        </w:rPr>
        <w:drawing>
          <wp:inline distT="0" distB="0" distL="0" distR="0" wp14:anchorId="781C082E" wp14:editId="252B7830">
            <wp:extent cx="9069646" cy="4591050"/>
            <wp:effectExtent l="0" t="0" r="0" b="0"/>
            <wp:docPr id="1" name="Picture 1" descr="Appendix 2 is a screenshot of ‘The Australian National Registry of Emissions Units which details the eligible carbon offsets which were surrendered on behalf of Melbourne Music 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26421" cy="4619789"/>
                    </a:xfrm>
                    <a:prstGeom prst="rect">
                      <a:avLst/>
                    </a:prstGeom>
                    <a:noFill/>
                    <a:ln>
                      <a:noFill/>
                    </a:ln>
                  </pic:spPr>
                </pic:pic>
              </a:graphicData>
            </a:graphic>
          </wp:inline>
        </w:drawing>
      </w:r>
    </w:p>
    <w:p w:rsidR="00C50690" w:rsidRDefault="00C50690">
      <w:pPr>
        <w:spacing w:before="0" w:after="0" w:line="240" w:lineRule="auto"/>
        <w:rPr>
          <w:rFonts w:ascii="Arial Bold" w:eastAsia="MS Gothic" w:hAnsi="Arial Bold"/>
          <w:sz w:val="22"/>
          <w:szCs w:val="26"/>
          <w:lang w:val="en-US"/>
        </w:rPr>
      </w:pPr>
      <w:bookmarkStart w:id="58" w:name="_Toc47888233"/>
      <w:r>
        <w:br w:type="page"/>
      </w:r>
    </w:p>
    <w:p w:rsidR="00667809" w:rsidRPr="008B64AA" w:rsidRDefault="00667809" w:rsidP="00667809">
      <w:pPr>
        <w:pStyle w:val="Heading3"/>
      </w:pPr>
      <w:r w:rsidRPr="008B64AA">
        <w:t>Appendix 3 – VCUs Surrendered for Large Event Portfolio – pre-event</w:t>
      </w:r>
      <w:bookmarkEnd w:id="58"/>
    </w:p>
    <w:p w:rsidR="00667809" w:rsidRDefault="00667809" w:rsidP="00667809">
      <w:r>
        <w:rPr>
          <w:noProof/>
          <w:lang w:eastAsia="en-AU"/>
        </w:rPr>
        <w:drawing>
          <wp:inline distT="0" distB="0" distL="0" distR="0" wp14:anchorId="5A15823E" wp14:editId="7349140D">
            <wp:extent cx="9120190" cy="1828800"/>
            <wp:effectExtent l="0" t="0" r="5080" b="0"/>
            <wp:docPr id="4" name="Picture 4" descr="Appendix 3 is a screenshot of ‘The Verified Carbon Unit registry which details the eligible carbon offsets that were surrendered on behalf of Melbourne Music Wee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44402" cy="1853707"/>
                    </a:xfrm>
                    <a:prstGeom prst="rect">
                      <a:avLst/>
                    </a:prstGeom>
                    <a:noFill/>
                    <a:ln>
                      <a:noFill/>
                    </a:ln>
                  </pic:spPr>
                </pic:pic>
              </a:graphicData>
            </a:graphic>
          </wp:inline>
        </w:drawing>
      </w:r>
    </w:p>
    <w:p w:rsidR="00667809" w:rsidRPr="00EE49BD" w:rsidRDefault="00667809" w:rsidP="00EE49BD">
      <w:pPr>
        <w:spacing w:before="0" w:after="0" w:line="240" w:lineRule="auto"/>
        <w:rPr>
          <w:rFonts w:ascii="Arial Bold" w:eastAsia="MS Gothic" w:hAnsi="Arial Bold"/>
          <w:sz w:val="22"/>
          <w:szCs w:val="26"/>
          <w:lang w:val="en-US"/>
        </w:rPr>
      </w:pPr>
    </w:p>
    <w:sectPr w:rsidR="00667809" w:rsidRPr="00EE49BD" w:rsidSect="00C50690">
      <w:endnotePr>
        <w:numFmt w:val="decimal"/>
      </w:endnotePr>
      <w:pgSz w:w="16840" w:h="11900" w:orient="landscape"/>
      <w:pgMar w:top="1134" w:right="1418" w:bottom="98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AB" w:rsidRDefault="007248AB" w:rsidP="00BC719D">
      <w:pPr>
        <w:spacing w:after="0"/>
      </w:pPr>
      <w:r>
        <w:separator/>
      </w:r>
    </w:p>
  </w:endnote>
  <w:endnote w:type="continuationSeparator" w:id="0">
    <w:p w:rsidR="007248AB" w:rsidRDefault="007248A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57" w:rsidRDefault="00EB2457" w:rsidP="00667809">
    <w:pPr>
      <w:pStyle w:val="Footer"/>
      <w:tabs>
        <w:tab w:val="right" w:pos="14570"/>
      </w:tabs>
    </w:pPr>
    <w:r>
      <w:tab/>
      <w:t xml:space="preserve">Page </w:t>
    </w:r>
    <w:r>
      <w:fldChar w:fldCharType="begin"/>
    </w:r>
    <w:r>
      <w:instrText xml:space="preserve"> PAGE   \* MERGEFORMAT </w:instrText>
    </w:r>
    <w:r>
      <w:fldChar w:fldCharType="separate"/>
    </w:r>
    <w:r w:rsidR="00EA29B9">
      <w:rPr>
        <w:noProof/>
      </w:rPr>
      <w:t>10</w:t>
    </w:r>
    <w:r>
      <w:rPr>
        <w:noProof/>
      </w:rPr>
      <w:fldChar w:fldCharType="end"/>
    </w:r>
    <w:r>
      <w:t>/</w:t>
    </w:r>
    <w:r>
      <w:rPr>
        <w:noProof/>
      </w:rPr>
      <w:fldChar w:fldCharType="begin"/>
    </w:r>
    <w:r>
      <w:rPr>
        <w:noProof/>
      </w:rPr>
      <w:instrText xml:space="preserve"> NUMPAGES   \* MERGEFORMAT </w:instrText>
    </w:r>
    <w:r>
      <w:rPr>
        <w:noProof/>
      </w:rPr>
      <w:fldChar w:fldCharType="separate"/>
    </w:r>
    <w:r w:rsidR="00EA29B9">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57" w:rsidRDefault="00EB2457" w:rsidP="00667809">
    <w:pPr>
      <w:pStyle w:val="Footer"/>
      <w:tabs>
        <w:tab w:val="right" w:pos="9356"/>
      </w:tabs>
      <w:jc w:val="center"/>
      <w:rPr>
        <w:sz w:val="14"/>
        <w:szCs w:val="14"/>
      </w:rPr>
    </w:pPr>
  </w:p>
  <w:p w:rsidR="00EB2457" w:rsidRPr="007F07F2" w:rsidRDefault="00EB2457" w:rsidP="00667809">
    <w:pPr>
      <w:pStyle w:val="Footer"/>
      <w:rPr>
        <w:rFonts w:ascii="Verdana" w:hAnsi="Verdana"/>
        <w:szCs w:val="17"/>
      </w:rPr>
    </w:pPr>
    <w:r>
      <w:t>Template v2.0 release date 8/4/2020</w:t>
    </w:r>
  </w:p>
  <w:p w:rsidR="00EB2457" w:rsidRDefault="00EB2457" w:rsidP="00667809">
    <w:pPr>
      <w:pStyle w:val="Footer"/>
    </w:pPr>
    <w:r>
      <w:tab/>
    </w:r>
    <w:r>
      <w:tab/>
      <w:t xml:space="preserve">Page </w:t>
    </w:r>
    <w:r>
      <w:fldChar w:fldCharType="begin"/>
    </w:r>
    <w:r>
      <w:instrText xml:space="preserve"> PAGE   \* MERGEFORMAT </w:instrText>
    </w:r>
    <w:r>
      <w:fldChar w:fldCharType="separate"/>
    </w:r>
    <w:r w:rsidR="00EA29B9">
      <w:rPr>
        <w:noProof/>
      </w:rPr>
      <w:t>1</w:t>
    </w:r>
    <w:r>
      <w:fldChar w:fldCharType="end"/>
    </w:r>
    <w:r>
      <w:t>/</w:t>
    </w:r>
    <w:r>
      <w:rPr>
        <w:noProof/>
      </w:rPr>
      <w:fldChar w:fldCharType="begin"/>
    </w:r>
    <w:r>
      <w:rPr>
        <w:noProof/>
      </w:rPr>
      <w:instrText xml:space="preserve"> NUMPAGES   \* MERGEFORMAT </w:instrText>
    </w:r>
    <w:r>
      <w:rPr>
        <w:noProof/>
      </w:rPr>
      <w:fldChar w:fldCharType="separate"/>
    </w:r>
    <w:r w:rsidR="00EA29B9">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57" w:rsidRPr="00A0432B" w:rsidRDefault="00EB2457" w:rsidP="00667809">
    <w:pPr>
      <w:jc w:val="right"/>
    </w:pPr>
    <w:r w:rsidRPr="00A0432B">
      <w:tab/>
    </w:r>
    <w:r w:rsidRPr="00A0432B">
      <w:tab/>
      <w:t xml:space="preserve"> </w:t>
    </w:r>
    <w:r w:rsidRPr="00A0432B">
      <w:tab/>
      <w:t xml:space="preserve">Page </w:t>
    </w:r>
    <w:r w:rsidRPr="00A0432B">
      <w:fldChar w:fldCharType="begin"/>
    </w:r>
    <w:r w:rsidRPr="00A0432B">
      <w:instrText xml:space="preserve"> PAGE   \* MERGEFORMAT </w:instrText>
    </w:r>
    <w:r w:rsidRPr="00A0432B">
      <w:fldChar w:fldCharType="separate"/>
    </w:r>
    <w:r w:rsidR="00EA29B9">
      <w:rPr>
        <w:noProof/>
      </w:rPr>
      <w:t>20</w:t>
    </w:r>
    <w:r w:rsidRPr="00A0432B">
      <w:fldChar w:fldCharType="end"/>
    </w:r>
    <w:r w:rsidRPr="00A0432B">
      <w:t>/</w:t>
    </w:r>
    <w:r>
      <w:rPr>
        <w:noProof/>
      </w:rPr>
      <w:fldChar w:fldCharType="begin"/>
    </w:r>
    <w:r>
      <w:rPr>
        <w:noProof/>
      </w:rPr>
      <w:instrText xml:space="preserve"> NUMPAGES   \* MERGEFORMAT </w:instrText>
    </w:r>
    <w:r>
      <w:rPr>
        <w:noProof/>
      </w:rPr>
      <w:fldChar w:fldCharType="separate"/>
    </w:r>
    <w:r w:rsidR="00EA29B9">
      <w:rPr>
        <w:noProof/>
      </w:rPr>
      <w:t>20</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57" w:rsidRPr="00A0432B" w:rsidRDefault="00EB2457" w:rsidP="00667809"/>
  <w:p w:rsidR="00EB2457" w:rsidRPr="00A0432B" w:rsidRDefault="00EB2457" w:rsidP="00667809">
    <w:pPr>
      <w:jc w:val="right"/>
    </w:pPr>
    <w:r w:rsidRPr="00A0432B">
      <w:tab/>
      <w:t xml:space="preserve">Page </w:t>
    </w:r>
    <w:r w:rsidRPr="00A0432B">
      <w:fldChar w:fldCharType="begin"/>
    </w:r>
    <w:r w:rsidRPr="00A0432B">
      <w:instrText xml:space="preserve"> PAGE   \* MERGEFORMAT </w:instrText>
    </w:r>
    <w:r w:rsidRPr="00A0432B">
      <w:fldChar w:fldCharType="separate"/>
    </w:r>
    <w:r w:rsidR="00EA29B9">
      <w:rPr>
        <w:noProof/>
      </w:rPr>
      <w:t>11</w:t>
    </w:r>
    <w:r w:rsidRPr="00A0432B">
      <w:fldChar w:fldCharType="end"/>
    </w:r>
    <w:r w:rsidRPr="00A0432B">
      <w:t>/</w:t>
    </w:r>
    <w:r>
      <w:rPr>
        <w:noProof/>
      </w:rPr>
      <w:fldChar w:fldCharType="begin"/>
    </w:r>
    <w:r>
      <w:rPr>
        <w:noProof/>
      </w:rPr>
      <w:instrText xml:space="preserve"> NUMPAGES   \* MERGEFORMAT </w:instrText>
    </w:r>
    <w:r>
      <w:rPr>
        <w:noProof/>
      </w:rPr>
      <w:fldChar w:fldCharType="separate"/>
    </w:r>
    <w:r w:rsidR="00EA29B9">
      <w:rPr>
        <w:noProof/>
      </w:rPr>
      <w:t>11</w:t>
    </w:r>
    <w:r>
      <w:rPr>
        <w:noProof/>
      </w:rPr>
      <w:fldChar w:fldCharType="end"/>
    </w:r>
  </w:p>
  <w:p w:rsidR="00EB2457" w:rsidRPr="00A0432B" w:rsidRDefault="00EB2457" w:rsidP="006678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AB" w:rsidRDefault="007248AB" w:rsidP="00577A39">
      <w:pPr>
        <w:spacing w:after="40" w:line="240" w:lineRule="auto"/>
      </w:pPr>
      <w:r>
        <w:separator/>
      </w:r>
    </w:p>
  </w:footnote>
  <w:footnote w:type="continuationSeparator" w:id="0">
    <w:p w:rsidR="007248AB" w:rsidRDefault="007248AB" w:rsidP="00EA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57" w:rsidRDefault="00EB2457" w:rsidP="00667809">
    <w:pPr>
      <w:pStyle w:val="Header"/>
      <w:spacing w:after="120"/>
      <w:jc w:val="right"/>
    </w:pPr>
    <w:r>
      <w:t>Climate Active Public Disclosure Statement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57" w:rsidRPr="00A0432B" w:rsidRDefault="00EB2457" w:rsidP="00667809">
    <w:pPr>
      <w:jc w:val="right"/>
    </w:pPr>
    <w:r>
      <w:t>Climate Active Public Disclosure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57" w:rsidRPr="00A0432B" w:rsidRDefault="00EB2457" w:rsidP="00667809">
    <w:pPr>
      <w:jc w:val="right"/>
    </w:pPr>
    <w:r>
      <w:t>Climate Active Public Disclosure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15616BEF"/>
    <w:multiLevelType w:val="hybridMultilevel"/>
    <w:tmpl w:val="054484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nsid w:val="2A2B5D1C"/>
    <w:multiLevelType w:val="multilevel"/>
    <w:tmpl w:val="16506B6C"/>
    <w:numStyleLink w:val="ListNumbers"/>
  </w:abstractNum>
  <w:abstractNum w:abstractNumId="7">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572645"/>
    <w:multiLevelType w:val="hybridMultilevel"/>
    <w:tmpl w:val="BD168364"/>
    <w:lvl w:ilvl="0" w:tplc="731EC846">
      <w:start w:val="201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C10957"/>
    <w:multiLevelType w:val="multilevel"/>
    <w:tmpl w:val="16506B6C"/>
    <w:numStyleLink w:val="ListNumbers"/>
  </w:abstractNum>
  <w:abstractNum w:abstractNumId="10">
    <w:nsid w:val="395F26EE"/>
    <w:multiLevelType w:val="hybridMultilevel"/>
    <w:tmpl w:val="E4368F3A"/>
    <w:lvl w:ilvl="0" w:tplc="FBF6AE08">
      <w:start w:val="201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744EA4"/>
    <w:multiLevelType w:val="hybridMultilevel"/>
    <w:tmpl w:val="608C655E"/>
    <w:lvl w:ilvl="0" w:tplc="FBF6AE08">
      <w:start w:val="201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7674A8"/>
    <w:multiLevelType w:val="hybridMultilevel"/>
    <w:tmpl w:val="6E9CEF02"/>
    <w:lvl w:ilvl="0" w:tplc="BD18EADC">
      <w:start w:val="1"/>
      <w:numFmt w:val="decimal"/>
      <w:lvlText w:val="%1."/>
      <w:lvlJc w:val="left"/>
      <w:pPr>
        <w:ind w:left="396" w:hanging="296"/>
        <w:jc w:val="right"/>
      </w:pPr>
      <w:rPr>
        <w:rFonts w:ascii="Calibri" w:eastAsia="Cambria" w:hAnsi="Calibri" w:hint="default"/>
        <w:spacing w:val="-1"/>
        <w:w w:val="99"/>
        <w:sz w:val="28"/>
        <w:szCs w:val="28"/>
      </w:rPr>
    </w:lvl>
    <w:lvl w:ilvl="1" w:tplc="404614B2">
      <w:start w:val="1"/>
      <w:numFmt w:val="bullet"/>
      <w:lvlText w:val=""/>
      <w:lvlJc w:val="left"/>
      <w:pPr>
        <w:ind w:left="821" w:hanging="360"/>
      </w:pPr>
      <w:rPr>
        <w:rFonts w:ascii="Symbol" w:eastAsia="Symbol" w:hAnsi="Symbol" w:hint="default"/>
        <w:color w:val="0070C0"/>
        <w:w w:val="99"/>
        <w:sz w:val="20"/>
        <w:szCs w:val="20"/>
      </w:rPr>
    </w:lvl>
    <w:lvl w:ilvl="2" w:tplc="611CC7CE">
      <w:start w:val="1"/>
      <w:numFmt w:val="bullet"/>
      <w:lvlText w:val=""/>
      <w:lvlJc w:val="left"/>
      <w:pPr>
        <w:ind w:left="1541" w:hanging="360"/>
      </w:pPr>
      <w:rPr>
        <w:rFonts w:ascii="Symbol" w:eastAsia="Symbol" w:hAnsi="Symbol" w:hint="default"/>
        <w:color w:val="0070C0"/>
        <w:w w:val="99"/>
        <w:sz w:val="20"/>
        <w:szCs w:val="20"/>
      </w:rPr>
    </w:lvl>
    <w:lvl w:ilvl="3" w:tplc="E47E5D8A">
      <w:start w:val="1"/>
      <w:numFmt w:val="bullet"/>
      <w:lvlText w:val="•"/>
      <w:lvlJc w:val="left"/>
      <w:pPr>
        <w:ind w:left="2439" w:hanging="360"/>
      </w:pPr>
      <w:rPr>
        <w:rFonts w:hint="default"/>
      </w:rPr>
    </w:lvl>
    <w:lvl w:ilvl="4" w:tplc="D128ABA6">
      <w:start w:val="1"/>
      <w:numFmt w:val="bullet"/>
      <w:lvlText w:val="•"/>
      <w:lvlJc w:val="left"/>
      <w:pPr>
        <w:ind w:left="3337" w:hanging="360"/>
      </w:pPr>
      <w:rPr>
        <w:rFonts w:hint="default"/>
      </w:rPr>
    </w:lvl>
    <w:lvl w:ilvl="5" w:tplc="9F646264">
      <w:start w:val="1"/>
      <w:numFmt w:val="bullet"/>
      <w:lvlText w:val="•"/>
      <w:lvlJc w:val="left"/>
      <w:pPr>
        <w:ind w:left="4235" w:hanging="360"/>
      </w:pPr>
      <w:rPr>
        <w:rFonts w:hint="default"/>
      </w:rPr>
    </w:lvl>
    <w:lvl w:ilvl="6" w:tplc="1DB054FC">
      <w:start w:val="1"/>
      <w:numFmt w:val="bullet"/>
      <w:lvlText w:val="•"/>
      <w:lvlJc w:val="left"/>
      <w:pPr>
        <w:ind w:left="5134" w:hanging="360"/>
      </w:pPr>
      <w:rPr>
        <w:rFonts w:hint="default"/>
      </w:rPr>
    </w:lvl>
    <w:lvl w:ilvl="7" w:tplc="BCB4E0E2">
      <w:start w:val="1"/>
      <w:numFmt w:val="bullet"/>
      <w:lvlText w:val="•"/>
      <w:lvlJc w:val="left"/>
      <w:pPr>
        <w:ind w:left="6032" w:hanging="360"/>
      </w:pPr>
      <w:rPr>
        <w:rFonts w:hint="default"/>
      </w:rPr>
    </w:lvl>
    <w:lvl w:ilvl="8" w:tplc="C6928514">
      <w:start w:val="1"/>
      <w:numFmt w:val="bullet"/>
      <w:lvlText w:val="•"/>
      <w:lvlJc w:val="left"/>
      <w:pPr>
        <w:ind w:left="6930" w:hanging="360"/>
      </w:pPr>
      <w:rPr>
        <w:rFonts w:hint="default"/>
      </w:rPr>
    </w:lvl>
  </w:abstractNum>
  <w:abstractNum w:abstractNumId="13">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1209CA"/>
    <w:multiLevelType w:val="multilevel"/>
    <w:tmpl w:val="16506B6C"/>
    <w:numStyleLink w:val="ListNumbers"/>
  </w:abstractNum>
  <w:abstractNum w:abstractNumId="15">
    <w:nsid w:val="74744DB6"/>
    <w:multiLevelType w:val="hybridMultilevel"/>
    <w:tmpl w:val="FF864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2C43DC"/>
    <w:multiLevelType w:val="multilevel"/>
    <w:tmpl w:val="16506B6C"/>
    <w:numStyleLink w:val="ListNumbers"/>
  </w:abstractNum>
  <w:abstractNum w:abstractNumId="17">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3"/>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4"/>
  </w:num>
  <w:num w:numId="19">
    <w:abstractNumId w:val="15"/>
  </w:num>
  <w:num w:numId="20">
    <w:abstractNumId w:val="8"/>
  </w:num>
  <w:num w:numId="21">
    <w:abstractNumId w:val="10"/>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3F"/>
    <w:rsid w:val="0000224B"/>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96DC3"/>
    <w:rsid w:val="002D630D"/>
    <w:rsid w:val="002E4153"/>
    <w:rsid w:val="002F47B6"/>
    <w:rsid w:val="002F6A88"/>
    <w:rsid w:val="00332A36"/>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22A13"/>
    <w:rsid w:val="00667809"/>
    <w:rsid w:val="00670405"/>
    <w:rsid w:val="00687D4A"/>
    <w:rsid w:val="006A2F63"/>
    <w:rsid w:val="006A3718"/>
    <w:rsid w:val="006C7F7B"/>
    <w:rsid w:val="00712950"/>
    <w:rsid w:val="00715B3E"/>
    <w:rsid w:val="007248AB"/>
    <w:rsid w:val="007251E6"/>
    <w:rsid w:val="0073401D"/>
    <w:rsid w:val="007361D8"/>
    <w:rsid w:val="00737A99"/>
    <w:rsid w:val="00782E37"/>
    <w:rsid w:val="007A0AA6"/>
    <w:rsid w:val="007A15BF"/>
    <w:rsid w:val="007E291E"/>
    <w:rsid w:val="007F0661"/>
    <w:rsid w:val="00802A52"/>
    <w:rsid w:val="00806F0F"/>
    <w:rsid w:val="00831224"/>
    <w:rsid w:val="00850D66"/>
    <w:rsid w:val="00855F84"/>
    <w:rsid w:val="00881C97"/>
    <w:rsid w:val="008A0923"/>
    <w:rsid w:val="008C6844"/>
    <w:rsid w:val="008D2DDA"/>
    <w:rsid w:val="008E2476"/>
    <w:rsid w:val="00902EE8"/>
    <w:rsid w:val="009043FC"/>
    <w:rsid w:val="009050C6"/>
    <w:rsid w:val="0091365A"/>
    <w:rsid w:val="00955E32"/>
    <w:rsid w:val="0097181E"/>
    <w:rsid w:val="00990B3C"/>
    <w:rsid w:val="009D1FBA"/>
    <w:rsid w:val="009F4681"/>
    <w:rsid w:val="00A01D13"/>
    <w:rsid w:val="00A121B3"/>
    <w:rsid w:val="00A3409F"/>
    <w:rsid w:val="00A71927"/>
    <w:rsid w:val="00A8651A"/>
    <w:rsid w:val="00AA4303"/>
    <w:rsid w:val="00AB6132"/>
    <w:rsid w:val="00AD2B6E"/>
    <w:rsid w:val="00AD6095"/>
    <w:rsid w:val="00AE4857"/>
    <w:rsid w:val="00AF02E0"/>
    <w:rsid w:val="00B152AF"/>
    <w:rsid w:val="00B17C91"/>
    <w:rsid w:val="00B53D5A"/>
    <w:rsid w:val="00B61F7F"/>
    <w:rsid w:val="00B93B1F"/>
    <w:rsid w:val="00BC5E8E"/>
    <w:rsid w:val="00BC719D"/>
    <w:rsid w:val="00BE100F"/>
    <w:rsid w:val="00BE1269"/>
    <w:rsid w:val="00BE4B49"/>
    <w:rsid w:val="00BE6801"/>
    <w:rsid w:val="00C0000D"/>
    <w:rsid w:val="00C0291B"/>
    <w:rsid w:val="00C05740"/>
    <w:rsid w:val="00C07190"/>
    <w:rsid w:val="00C14F9F"/>
    <w:rsid w:val="00C2007C"/>
    <w:rsid w:val="00C37F6A"/>
    <w:rsid w:val="00C42412"/>
    <w:rsid w:val="00C50690"/>
    <w:rsid w:val="00C73DA2"/>
    <w:rsid w:val="00C95D66"/>
    <w:rsid w:val="00CA3730"/>
    <w:rsid w:val="00CB6145"/>
    <w:rsid w:val="00CD382D"/>
    <w:rsid w:val="00CE5833"/>
    <w:rsid w:val="00D00427"/>
    <w:rsid w:val="00D02C4A"/>
    <w:rsid w:val="00D46B11"/>
    <w:rsid w:val="00D5586A"/>
    <w:rsid w:val="00D77363"/>
    <w:rsid w:val="00DA5DDE"/>
    <w:rsid w:val="00E4646D"/>
    <w:rsid w:val="00E5089C"/>
    <w:rsid w:val="00E86DCD"/>
    <w:rsid w:val="00E94A1C"/>
    <w:rsid w:val="00E96298"/>
    <w:rsid w:val="00EA185E"/>
    <w:rsid w:val="00EA2130"/>
    <w:rsid w:val="00EA29B9"/>
    <w:rsid w:val="00EB2457"/>
    <w:rsid w:val="00EC4AF9"/>
    <w:rsid w:val="00EC5508"/>
    <w:rsid w:val="00ED7629"/>
    <w:rsid w:val="00EE49BD"/>
    <w:rsid w:val="00EF11AE"/>
    <w:rsid w:val="00F03DF7"/>
    <w:rsid w:val="00F07FBE"/>
    <w:rsid w:val="00F24B46"/>
    <w:rsid w:val="00F4048D"/>
    <w:rsid w:val="00F41FC6"/>
    <w:rsid w:val="00F5083F"/>
    <w:rsid w:val="00F608ED"/>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table of figures"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qFormat="1"/>
    <w:lsdException w:name="List Number" w:qFormat="1"/>
    <w:lsdException w:name="Title" w:semiHidden="0" w:unhideWhenUsed="0"/>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qFormat/>
    <w:rsid w:val="00E96298"/>
    <w:pPr>
      <w:spacing w:before="240" w:after="24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uiPriority w:val="9"/>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after="60"/>
      <w:outlineLvl w:val="5"/>
    </w:pPr>
    <w:rPr>
      <w:bCs/>
      <w:szCs w:val="22"/>
    </w:rPr>
  </w:style>
  <w:style w:type="paragraph" w:styleId="Heading7">
    <w:name w:val="heading 7"/>
    <w:basedOn w:val="Normal"/>
    <w:next w:val="Normal"/>
    <w:link w:val="Heading7Char"/>
    <w:rsid w:val="00C2007C"/>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aliases w:val="Footer small"/>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aliases w:val="Footer small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aliases w:val="Body of text - Bullet point"/>
    <w:basedOn w:val="Normal"/>
    <w:link w:val="ListParagraphChar"/>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9"/>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D5586A"/>
    <w:pPr>
      <w:spacing w:before="48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667809"/>
    <w:pPr>
      <w:spacing w:before="100" w:beforeAutospacing="1" w:after="100" w:afterAutospacing="1" w:line="240" w:lineRule="auto"/>
    </w:pPr>
    <w:rPr>
      <w:rFonts w:ascii="Times New Roman" w:eastAsiaTheme="minorEastAsia" w:hAnsi="Times New Roman"/>
      <w:sz w:val="24"/>
      <w:lang w:eastAsia="en-AU"/>
    </w:rPr>
  </w:style>
  <w:style w:type="table" w:customStyle="1" w:styleId="TableGrid11">
    <w:name w:val="Table Grid11"/>
    <w:basedOn w:val="TableNormal"/>
    <w:next w:val="TableGrid"/>
    <w:uiPriority w:val="59"/>
    <w:rsid w:val="006678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809"/>
    <w:rPr>
      <w:sz w:val="16"/>
      <w:szCs w:val="16"/>
    </w:rPr>
  </w:style>
  <w:style w:type="paragraph" w:styleId="CommentText">
    <w:name w:val="annotation text"/>
    <w:basedOn w:val="Normal"/>
    <w:link w:val="CommentTextChar"/>
    <w:uiPriority w:val="99"/>
    <w:semiHidden/>
    <w:unhideWhenUsed/>
    <w:rsid w:val="00667809"/>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6780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67809"/>
    <w:rPr>
      <w:b/>
      <w:bCs/>
    </w:rPr>
  </w:style>
  <w:style w:type="character" w:customStyle="1" w:styleId="CommentSubjectChar">
    <w:name w:val="Comment Subject Char"/>
    <w:basedOn w:val="CommentTextChar"/>
    <w:link w:val="CommentSubject"/>
    <w:uiPriority w:val="99"/>
    <w:semiHidden/>
    <w:rsid w:val="00667809"/>
    <w:rPr>
      <w:rFonts w:asciiTheme="minorHAnsi" w:eastAsiaTheme="minorHAnsi" w:hAnsiTheme="minorHAnsi" w:cstheme="minorBidi"/>
      <w:b/>
      <w:bCs/>
      <w:lang w:eastAsia="en-US"/>
    </w:rPr>
  </w:style>
  <w:style w:type="paragraph" w:customStyle="1" w:styleId="TableParagraph">
    <w:name w:val="Table Paragraph"/>
    <w:basedOn w:val="Normal"/>
    <w:uiPriority w:val="1"/>
    <w:qFormat/>
    <w:rsid w:val="00667809"/>
    <w:pPr>
      <w:widowControl w:val="0"/>
      <w:spacing w:after="0" w:line="240" w:lineRule="auto"/>
    </w:pPr>
    <w:rPr>
      <w:rFonts w:asciiTheme="minorHAnsi" w:eastAsiaTheme="minorHAnsi" w:hAnsiTheme="minorHAnsi" w:cstheme="minorBidi"/>
      <w:sz w:val="22"/>
      <w:szCs w:val="22"/>
      <w:lang w:val="en-US"/>
    </w:rPr>
  </w:style>
  <w:style w:type="paragraph" w:styleId="Revision">
    <w:name w:val="Revision"/>
    <w:hidden/>
    <w:uiPriority w:val="99"/>
    <w:semiHidden/>
    <w:rsid w:val="00667809"/>
    <w:rPr>
      <w:rFonts w:asciiTheme="minorHAnsi" w:eastAsiaTheme="minorHAnsi" w:hAnsiTheme="minorHAnsi" w:cstheme="minorBidi"/>
      <w:sz w:val="22"/>
      <w:szCs w:val="22"/>
      <w:lang w:eastAsia="en-US"/>
    </w:rPr>
  </w:style>
  <w:style w:type="character" w:customStyle="1" w:styleId="ListParagraphChar">
    <w:name w:val="List Paragraph Char"/>
    <w:aliases w:val="Body of text - Bullet point Char"/>
    <w:basedOn w:val="DefaultParagraphFont"/>
    <w:link w:val="ListParagraph"/>
    <w:uiPriority w:val="34"/>
    <w:rsid w:val="00667809"/>
    <w:rPr>
      <w:rFonts w:ascii="Arial" w:hAnsi="Arial"/>
      <w:szCs w:val="24"/>
      <w:lang w:val="en-US" w:eastAsia="en-US"/>
    </w:rPr>
  </w:style>
  <w:style w:type="paragraph" w:styleId="BodyText">
    <w:name w:val="Body Text"/>
    <w:basedOn w:val="Normal"/>
    <w:link w:val="BodyTextChar"/>
    <w:qFormat/>
    <w:rsid w:val="00667809"/>
    <w:pPr>
      <w:spacing w:before="200" w:line="288" w:lineRule="auto"/>
    </w:pPr>
    <w:rPr>
      <w:rFonts w:eastAsia="Cambria"/>
      <w:szCs w:val="20"/>
      <w:lang w:eastAsia="en-AU"/>
    </w:rPr>
  </w:style>
  <w:style w:type="character" w:customStyle="1" w:styleId="BodyTextChar">
    <w:name w:val="Body Text Char"/>
    <w:basedOn w:val="DefaultParagraphFont"/>
    <w:link w:val="BodyText"/>
    <w:rsid w:val="00667809"/>
    <w:rPr>
      <w:rFonts w:ascii="Arial" w:eastAsia="Cambria" w:hAnsi="Arial"/>
    </w:rPr>
  </w:style>
  <w:style w:type="paragraph" w:customStyle="1" w:styleId="BoldHeading">
    <w:name w:val="Bold Heading"/>
    <w:basedOn w:val="BodyText"/>
    <w:qFormat/>
    <w:rsid w:val="00667809"/>
    <w:pPr>
      <w:tabs>
        <w:tab w:val="left" w:pos="426"/>
      </w:tabs>
    </w:pPr>
    <w:rPr>
      <w:rFonts w:ascii="Arial Bold" w:hAnsi="Arial Bold"/>
    </w:rPr>
  </w:style>
  <w:style w:type="paragraph" w:customStyle="1" w:styleId="Default">
    <w:name w:val="Default"/>
    <w:rsid w:val="00667809"/>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header" w:uiPriority="99"/>
    <w:lsdException w:name="footer" w:uiPriority="99"/>
    <w:lsdException w:name="table of figures"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qFormat="1"/>
    <w:lsdException w:name="List Number" w:qFormat="1"/>
    <w:lsdException w:name="Title" w:semiHidden="0" w:unhideWhenUsed="0"/>
    <w:lsdException w:name="Default Paragraph Font"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iPriority="39" w:unhideWhenUsed="0" w:qFormat="1"/>
  </w:latentStyles>
  <w:style w:type="paragraph" w:default="1" w:styleId="Normal">
    <w:name w:val="Normal"/>
    <w:qFormat/>
    <w:rsid w:val="00E96298"/>
    <w:pPr>
      <w:spacing w:before="240" w:after="24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uiPriority w:val="9"/>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uiPriority w:val="9"/>
    <w:qFormat/>
    <w:rsid w:val="00802A52"/>
    <w:pPr>
      <w:spacing w:before="280" w:after="160"/>
      <w:outlineLvl w:val="2"/>
    </w:pPr>
    <w:rPr>
      <w:bCs w:val="0"/>
      <w:sz w:val="22"/>
    </w:rPr>
  </w:style>
  <w:style w:type="paragraph" w:styleId="Heading4">
    <w:name w:val="heading 4"/>
    <w:basedOn w:val="Heading3"/>
    <w:next w:val="Normal"/>
    <w:link w:val="Heading4Char"/>
    <w:uiPriority w:val="9"/>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after="60"/>
      <w:outlineLvl w:val="5"/>
    </w:pPr>
    <w:rPr>
      <w:bCs/>
      <w:szCs w:val="22"/>
    </w:rPr>
  </w:style>
  <w:style w:type="paragraph" w:styleId="Heading7">
    <w:name w:val="heading 7"/>
    <w:basedOn w:val="Normal"/>
    <w:next w:val="Normal"/>
    <w:link w:val="Heading7Char"/>
    <w:rsid w:val="00C2007C"/>
    <w:p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uiPriority w:val="9"/>
    <w:rsid w:val="00802A52"/>
    <w:rPr>
      <w:rFonts w:ascii="Arial Bold" w:eastAsia="MS Gothic" w:hAnsi="Arial Bold"/>
      <w:bCs/>
      <w:sz w:val="24"/>
      <w:szCs w:val="26"/>
      <w:lang w:val="en-US" w:eastAsia="en-US"/>
    </w:rPr>
  </w:style>
  <w:style w:type="character" w:customStyle="1" w:styleId="Heading3Char">
    <w:name w:val="Heading 3 Char"/>
    <w:link w:val="Heading3"/>
    <w:uiPriority w:val="9"/>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aliases w:val="Footer small"/>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aliases w:val="Footer small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aliases w:val="Body of text - Bullet point"/>
    <w:basedOn w:val="Normal"/>
    <w:link w:val="ListParagraphChar"/>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uiPriority w:val="9"/>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D5586A"/>
    <w:pPr>
      <w:spacing w:before="48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667809"/>
    <w:pPr>
      <w:spacing w:before="100" w:beforeAutospacing="1" w:after="100" w:afterAutospacing="1" w:line="240" w:lineRule="auto"/>
    </w:pPr>
    <w:rPr>
      <w:rFonts w:ascii="Times New Roman" w:eastAsiaTheme="minorEastAsia" w:hAnsi="Times New Roman"/>
      <w:sz w:val="24"/>
      <w:lang w:eastAsia="en-AU"/>
    </w:rPr>
  </w:style>
  <w:style w:type="table" w:customStyle="1" w:styleId="TableGrid11">
    <w:name w:val="Table Grid11"/>
    <w:basedOn w:val="TableNormal"/>
    <w:next w:val="TableGrid"/>
    <w:uiPriority w:val="59"/>
    <w:rsid w:val="0066780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809"/>
    <w:rPr>
      <w:sz w:val="16"/>
      <w:szCs w:val="16"/>
    </w:rPr>
  </w:style>
  <w:style w:type="paragraph" w:styleId="CommentText">
    <w:name w:val="annotation text"/>
    <w:basedOn w:val="Normal"/>
    <w:link w:val="CommentTextChar"/>
    <w:uiPriority w:val="99"/>
    <w:semiHidden/>
    <w:unhideWhenUsed/>
    <w:rsid w:val="00667809"/>
    <w:pPr>
      <w:spacing w:after="16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6780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67809"/>
    <w:rPr>
      <w:b/>
      <w:bCs/>
    </w:rPr>
  </w:style>
  <w:style w:type="character" w:customStyle="1" w:styleId="CommentSubjectChar">
    <w:name w:val="Comment Subject Char"/>
    <w:basedOn w:val="CommentTextChar"/>
    <w:link w:val="CommentSubject"/>
    <w:uiPriority w:val="99"/>
    <w:semiHidden/>
    <w:rsid w:val="00667809"/>
    <w:rPr>
      <w:rFonts w:asciiTheme="minorHAnsi" w:eastAsiaTheme="minorHAnsi" w:hAnsiTheme="minorHAnsi" w:cstheme="minorBidi"/>
      <w:b/>
      <w:bCs/>
      <w:lang w:eastAsia="en-US"/>
    </w:rPr>
  </w:style>
  <w:style w:type="paragraph" w:customStyle="1" w:styleId="TableParagraph">
    <w:name w:val="Table Paragraph"/>
    <w:basedOn w:val="Normal"/>
    <w:uiPriority w:val="1"/>
    <w:qFormat/>
    <w:rsid w:val="00667809"/>
    <w:pPr>
      <w:widowControl w:val="0"/>
      <w:spacing w:after="0" w:line="240" w:lineRule="auto"/>
    </w:pPr>
    <w:rPr>
      <w:rFonts w:asciiTheme="minorHAnsi" w:eastAsiaTheme="minorHAnsi" w:hAnsiTheme="minorHAnsi" w:cstheme="minorBidi"/>
      <w:sz w:val="22"/>
      <w:szCs w:val="22"/>
      <w:lang w:val="en-US"/>
    </w:rPr>
  </w:style>
  <w:style w:type="paragraph" w:styleId="Revision">
    <w:name w:val="Revision"/>
    <w:hidden/>
    <w:uiPriority w:val="99"/>
    <w:semiHidden/>
    <w:rsid w:val="00667809"/>
    <w:rPr>
      <w:rFonts w:asciiTheme="minorHAnsi" w:eastAsiaTheme="minorHAnsi" w:hAnsiTheme="minorHAnsi" w:cstheme="minorBidi"/>
      <w:sz w:val="22"/>
      <w:szCs w:val="22"/>
      <w:lang w:eastAsia="en-US"/>
    </w:rPr>
  </w:style>
  <w:style w:type="character" w:customStyle="1" w:styleId="ListParagraphChar">
    <w:name w:val="List Paragraph Char"/>
    <w:aliases w:val="Body of text - Bullet point Char"/>
    <w:basedOn w:val="DefaultParagraphFont"/>
    <w:link w:val="ListParagraph"/>
    <w:uiPriority w:val="34"/>
    <w:rsid w:val="00667809"/>
    <w:rPr>
      <w:rFonts w:ascii="Arial" w:hAnsi="Arial"/>
      <w:szCs w:val="24"/>
      <w:lang w:val="en-US" w:eastAsia="en-US"/>
    </w:rPr>
  </w:style>
  <w:style w:type="paragraph" w:styleId="BodyText">
    <w:name w:val="Body Text"/>
    <w:basedOn w:val="Normal"/>
    <w:link w:val="BodyTextChar"/>
    <w:qFormat/>
    <w:rsid w:val="00667809"/>
    <w:pPr>
      <w:spacing w:before="200" w:line="288" w:lineRule="auto"/>
    </w:pPr>
    <w:rPr>
      <w:rFonts w:eastAsia="Cambria"/>
      <w:szCs w:val="20"/>
      <w:lang w:eastAsia="en-AU"/>
    </w:rPr>
  </w:style>
  <w:style w:type="character" w:customStyle="1" w:styleId="BodyTextChar">
    <w:name w:val="Body Text Char"/>
    <w:basedOn w:val="DefaultParagraphFont"/>
    <w:link w:val="BodyText"/>
    <w:rsid w:val="00667809"/>
    <w:rPr>
      <w:rFonts w:ascii="Arial" w:eastAsia="Cambria" w:hAnsi="Arial"/>
    </w:rPr>
  </w:style>
  <w:style w:type="paragraph" w:customStyle="1" w:styleId="BoldHeading">
    <w:name w:val="Bold Heading"/>
    <w:basedOn w:val="BodyText"/>
    <w:qFormat/>
    <w:rsid w:val="00667809"/>
    <w:pPr>
      <w:tabs>
        <w:tab w:val="left" w:pos="426"/>
      </w:tabs>
    </w:pPr>
    <w:rPr>
      <w:rFonts w:ascii="Arial Bold" w:hAnsi="Arial Bold"/>
    </w:rPr>
  </w:style>
  <w:style w:type="paragraph" w:customStyle="1" w:styleId="Default">
    <w:name w:val="Default"/>
    <w:rsid w:val="00667809"/>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21986E-099B-45E5-B787-20BADF55A420}">
  <ds:schemaRefs>
    <ds:schemaRef ds:uri="http://schemas.openxmlformats.org/officeDocument/2006/bibliography"/>
  </ds:schemaRefs>
</ds:datastoreItem>
</file>

<file path=customXml/itemProps2.xml><?xml version="1.0" encoding="utf-8"?>
<ds:datastoreItem xmlns:ds="http://schemas.openxmlformats.org/officeDocument/2006/customXml" ds:itemID="{59E7F5E8-ECEA-49B2-BC39-58FF7EE51B80}"/>
</file>

<file path=customXml/itemProps3.xml><?xml version="1.0" encoding="utf-8"?>
<ds:datastoreItem xmlns:ds="http://schemas.openxmlformats.org/officeDocument/2006/customXml" ds:itemID="{CF7C94A8-2D26-4BBA-BCE2-26BFB775E192}"/>
</file>

<file path=customXml/itemProps4.xml><?xml version="1.0" encoding="utf-8"?>
<ds:datastoreItem xmlns:ds="http://schemas.openxmlformats.org/officeDocument/2006/customXml" ds:itemID="{42E5B69E-09C8-4BF9-B510-73E5FC831EEE}"/>
</file>

<file path=docProps/app.xml><?xml version="1.0" encoding="utf-8"?>
<Properties xmlns="http://schemas.openxmlformats.org/officeDocument/2006/extended-properties" xmlns:vt="http://schemas.openxmlformats.org/officeDocument/2006/docPropsVTypes">
  <Template>8F7810DB</Template>
  <TotalTime>0</TotalTime>
  <Pages>1</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Climate Active Public Disclosure Statement</dc:title>
  <dc:creator/>
  <cp:keywords/>
  <cp:lastModifiedBy/>
  <cp:revision>1</cp:revision>
  <dcterms:created xsi:type="dcterms:W3CDTF">2020-08-10T03:40:00Z</dcterms:created>
  <dcterms:modified xsi:type="dcterms:W3CDTF">2020-08-10T03:40:00Z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