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A99" w:rsidRPr="005814F5" w:rsidRDefault="0091365A" w:rsidP="00020B35">
      <w:pPr>
        <w:spacing w:after="0"/>
        <w:jc w:val="right"/>
      </w:pPr>
      <w:r>
        <w:rPr>
          <w:noProof/>
          <w:lang w:eastAsia="en-AU"/>
        </w:rPr>
        <w:drawing>
          <wp:inline distT="0" distB="0" distL="0" distR="0" wp14:anchorId="2F1D9D0D" wp14:editId="07777777">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986790" cy="958215"/>
                    </a:xfrm>
                    <a:prstGeom prst="rect">
                      <a:avLst/>
                    </a:prstGeom>
                    <a:noFill/>
                    <a:ln>
                      <a:noFill/>
                    </a:ln>
                  </pic:spPr>
                </pic:pic>
              </a:graphicData>
            </a:graphic>
          </wp:inline>
        </w:drawing>
      </w:r>
    </w:p>
    <w:p w14:paraId="02625F96" w14:textId="77777777" w:rsidR="00E5089C" w:rsidRPr="001B51BF" w:rsidRDefault="00275D28" w:rsidP="00020B35">
      <w:pPr>
        <w:pStyle w:val="DocumentTitle"/>
        <w:spacing w:before="3360"/>
      </w:pPr>
      <w:bookmarkStart w:id="0" w:name="_GoBack"/>
      <w:r>
        <w:t>City of Melbourne – Melbourne Economy Snapshot</w:t>
      </w:r>
    </w:p>
    <w:p w14:paraId="1DA31B07" w14:textId="20C80675" w:rsidR="000F3535" w:rsidRDefault="00406F77" w:rsidP="001B51BF">
      <w:pPr>
        <w:pStyle w:val="Subtitle"/>
      </w:pPr>
      <w:r>
        <w:t>July</w:t>
      </w:r>
      <w:r w:rsidR="00275D28">
        <w:t xml:space="preserve"> 2023</w:t>
      </w:r>
    </w:p>
    <w:bookmarkEnd w:id="0"/>
    <w:p w14:paraId="3E231827" w14:textId="77777777" w:rsidR="00275D28" w:rsidRDefault="00275D28" w:rsidP="00275D28">
      <w:r>
        <w:t xml:space="preserve">DISCLAIMER: </w:t>
      </w:r>
      <w:proofErr w:type="gramStart"/>
      <w:r>
        <w:t>We’ve</w:t>
      </w:r>
      <w:proofErr w:type="gramEnd"/>
      <w:r>
        <w:t xml:space="preserve"> taken every care to ensure this information is correct at the time of publication. The City of Melbourne assumes no responsibility or liability for any errors, omissions or changes to information over time. The City of Melbourne does not accept liability whatsoever for any direct or indirect loss, damage or injury </w:t>
      </w:r>
      <w:proofErr w:type="gramStart"/>
      <w:r>
        <w:t>as a result</w:t>
      </w:r>
      <w:proofErr w:type="gramEnd"/>
      <w:r>
        <w:t xml:space="preserve"> of reliance on this information.</w:t>
      </w:r>
    </w:p>
    <w:p w14:paraId="1A599464" w14:textId="5AEF0474" w:rsidR="2C2C06BD" w:rsidRDefault="2C2C06BD">
      <w:bookmarkStart w:id="1" w:name="_Toc403992345"/>
      <w:bookmarkStart w:id="2" w:name="_Toc403992580"/>
      <w:r>
        <w:br w:type="page"/>
      </w:r>
    </w:p>
    <w:sdt>
      <w:sdtPr>
        <w:id w:val="92230427"/>
        <w:docPartObj>
          <w:docPartGallery w:val="Table of Contents"/>
          <w:docPartUnique/>
        </w:docPartObj>
      </w:sdtPr>
      <w:sdtEndPr/>
      <w:sdtContent>
        <w:p w14:paraId="4752F4E2" w14:textId="533AC727" w:rsidR="00AF1784" w:rsidRDefault="2C2C06BD">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TOC \o \z \u \h</w:instrText>
          </w:r>
          <w:r>
            <w:fldChar w:fldCharType="separate"/>
          </w:r>
          <w:hyperlink w:anchor="_Toc142397438" w:history="1">
            <w:r w:rsidR="00AF1784" w:rsidRPr="000025B3">
              <w:rPr>
                <w:rStyle w:val="Hyperlink"/>
                <w:noProof/>
              </w:rPr>
              <w:t>Business confidence grows with new city rhythm</w:t>
            </w:r>
            <w:r w:rsidR="00AF1784">
              <w:rPr>
                <w:noProof/>
                <w:webHidden/>
              </w:rPr>
              <w:tab/>
            </w:r>
            <w:r w:rsidR="00AF1784">
              <w:rPr>
                <w:noProof/>
                <w:webHidden/>
              </w:rPr>
              <w:fldChar w:fldCharType="begin"/>
            </w:r>
            <w:r w:rsidR="00AF1784">
              <w:rPr>
                <w:noProof/>
                <w:webHidden/>
              </w:rPr>
              <w:instrText xml:space="preserve"> PAGEREF _Toc142397438 \h </w:instrText>
            </w:r>
            <w:r w:rsidR="00AF1784">
              <w:rPr>
                <w:noProof/>
                <w:webHidden/>
              </w:rPr>
            </w:r>
            <w:r w:rsidR="00AF1784">
              <w:rPr>
                <w:noProof/>
                <w:webHidden/>
              </w:rPr>
              <w:fldChar w:fldCharType="separate"/>
            </w:r>
            <w:r w:rsidR="00AF1784">
              <w:rPr>
                <w:noProof/>
                <w:webHidden/>
              </w:rPr>
              <w:t>3</w:t>
            </w:r>
            <w:r w:rsidR="00AF1784">
              <w:rPr>
                <w:noProof/>
                <w:webHidden/>
              </w:rPr>
              <w:fldChar w:fldCharType="end"/>
            </w:r>
          </w:hyperlink>
        </w:p>
        <w:p w14:paraId="54896AA0" w14:textId="437804D1" w:rsidR="00AF1784" w:rsidRDefault="00B52566">
          <w:pPr>
            <w:pStyle w:val="TOC3"/>
            <w:rPr>
              <w:rFonts w:asciiTheme="minorHAnsi" w:eastAsiaTheme="minorEastAsia" w:hAnsiTheme="minorHAnsi" w:cstheme="minorBidi"/>
              <w:noProof/>
              <w:sz w:val="22"/>
              <w:szCs w:val="22"/>
              <w:lang w:eastAsia="en-AU"/>
            </w:rPr>
          </w:pPr>
          <w:hyperlink w:anchor="_Toc142397439" w:history="1">
            <w:r w:rsidR="00AF1784" w:rsidRPr="000025B3">
              <w:rPr>
                <w:rStyle w:val="Hyperlink"/>
                <w:noProof/>
              </w:rPr>
              <w:t>Table 1 – Approved monthly alterations to shops and restaurants in April and May, City of Melourne</w:t>
            </w:r>
            <w:r w:rsidR="00AF1784">
              <w:rPr>
                <w:noProof/>
                <w:webHidden/>
              </w:rPr>
              <w:tab/>
            </w:r>
            <w:r w:rsidR="00AF1784">
              <w:rPr>
                <w:noProof/>
                <w:webHidden/>
              </w:rPr>
              <w:fldChar w:fldCharType="begin"/>
            </w:r>
            <w:r w:rsidR="00AF1784">
              <w:rPr>
                <w:noProof/>
                <w:webHidden/>
              </w:rPr>
              <w:instrText xml:space="preserve"> PAGEREF _Toc142397439 \h </w:instrText>
            </w:r>
            <w:r w:rsidR="00AF1784">
              <w:rPr>
                <w:noProof/>
                <w:webHidden/>
              </w:rPr>
            </w:r>
            <w:r w:rsidR="00AF1784">
              <w:rPr>
                <w:noProof/>
                <w:webHidden/>
              </w:rPr>
              <w:fldChar w:fldCharType="separate"/>
            </w:r>
            <w:r w:rsidR="00AF1784">
              <w:rPr>
                <w:noProof/>
                <w:webHidden/>
              </w:rPr>
              <w:t>3</w:t>
            </w:r>
            <w:r w:rsidR="00AF1784">
              <w:rPr>
                <w:noProof/>
                <w:webHidden/>
              </w:rPr>
              <w:fldChar w:fldCharType="end"/>
            </w:r>
          </w:hyperlink>
        </w:p>
        <w:p w14:paraId="36CC64E0" w14:textId="68466D96" w:rsidR="00AF1784" w:rsidRDefault="00B52566">
          <w:pPr>
            <w:pStyle w:val="TOC1"/>
            <w:tabs>
              <w:tab w:val="right" w:leader="dot" w:pos="9769"/>
            </w:tabs>
            <w:rPr>
              <w:rFonts w:asciiTheme="minorHAnsi" w:eastAsiaTheme="minorEastAsia" w:hAnsiTheme="minorHAnsi" w:cstheme="minorBidi"/>
              <w:noProof/>
              <w:sz w:val="22"/>
              <w:szCs w:val="22"/>
              <w:lang w:eastAsia="en-AU"/>
            </w:rPr>
          </w:pPr>
          <w:hyperlink w:anchor="_Toc142397440" w:history="1">
            <w:r w:rsidR="00AF1784" w:rsidRPr="000025B3">
              <w:rPr>
                <w:rStyle w:val="Hyperlink"/>
                <w:noProof/>
              </w:rPr>
              <w:t>Hotel room boom</w:t>
            </w:r>
            <w:r w:rsidR="00AF1784">
              <w:rPr>
                <w:noProof/>
                <w:webHidden/>
              </w:rPr>
              <w:tab/>
            </w:r>
            <w:r w:rsidR="00AF1784">
              <w:rPr>
                <w:noProof/>
                <w:webHidden/>
              </w:rPr>
              <w:fldChar w:fldCharType="begin"/>
            </w:r>
            <w:r w:rsidR="00AF1784">
              <w:rPr>
                <w:noProof/>
                <w:webHidden/>
              </w:rPr>
              <w:instrText xml:space="preserve"> PAGEREF _Toc142397440 \h </w:instrText>
            </w:r>
            <w:r w:rsidR="00AF1784">
              <w:rPr>
                <w:noProof/>
                <w:webHidden/>
              </w:rPr>
            </w:r>
            <w:r w:rsidR="00AF1784">
              <w:rPr>
                <w:noProof/>
                <w:webHidden/>
              </w:rPr>
              <w:fldChar w:fldCharType="separate"/>
            </w:r>
            <w:r w:rsidR="00AF1784">
              <w:rPr>
                <w:noProof/>
                <w:webHidden/>
              </w:rPr>
              <w:t>4</w:t>
            </w:r>
            <w:r w:rsidR="00AF1784">
              <w:rPr>
                <w:noProof/>
                <w:webHidden/>
              </w:rPr>
              <w:fldChar w:fldCharType="end"/>
            </w:r>
          </w:hyperlink>
        </w:p>
        <w:p w14:paraId="5A46BCAA" w14:textId="5EBEBEAE" w:rsidR="00AF1784" w:rsidRDefault="00B52566">
          <w:pPr>
            <w:pStyle w:val="TOC3"/>
            <w:rPr>
              <w:rFonts w:asciiTheme="minorHAnsi" w:eastAsiaTheme="minorEastAsia" w:hAnsiTheme="minorHAnsi" w:cstheme="minorBidi"/>
              <w:noProof/>
              <w:sz w:val="22"/>
              <w:szCs w:val="22"/>
              <w:lang w:eastAsia="en-AU"/>
            </w:rPr>
          </w:pPr>
          <w:hyperlink w:anchor="_Toc142397441" w:history="1">
            <w:r w:rsidR="00AF1784" w:rsidRPr="000025B3">
              <w:rPr>
                <w:rStyle w:val="Hyperlink"/>
                <w:noProof/>
              </w:rPr>
              <w:t>Table 2 – Average daily accommodation supply and demand, City of Melourne</w:t>
            </w:r>
            <w:r w:rsidR="00AF1784">
              <w:rPr>
                <w:noProof/>
                <w:webHidden/>
              </w:rPr>
              <w:tab/>
            </w:r>
            <w:r w:rsidR="00AF1784">
              <w:rPr>
                <w:noProof/>
                <w:webHidden/>
              </w:rPr>
              <w:fldChar w:fldCharType="begin"/>
            </w:r>
            <w:r w:rsidR="00AF1784">
              <w:rPr>
                <w:noProof/>
                <w:webHidden/>
              </w:rPr>
              <w:instrText xml:space="preserve"> PAGEREF _Toc142397441 \h </w:instrText>
            </w:r>
            <w:r w:rsidR="00AF1784">
              <w:rPr>
                <w:noProof/>
                <w:webHidden/>
              </w:rPr>
            </w:r>
            <w:r w:rsidR="00AF1784">
              <w:rPr>
                <w:noProof/>
                <w:webHidden/>
              </w:rPr>
              <w:fldChar w:fldCharType="separate"/>
            </w:r>
            <w:r w:rsidR="00AF1784">
              <w:rPr>
                <w:noProof/>
                <w:webHidden/>
              </w:rPr>
              <w:t>4</w:t>
            </w:r>
            <w:r w:rsidR="00AF1784">
              <w:rPr>
                <w:noProof/>
                <w:webHidden/>
              </w:rPr>
              <w:fldChar w:fldCharType="end"/>
            </w:r>
          </w:hyperlink>
        </w:p>
        <w:p w14:paraId="66C0B70C" w14:textId="1ECACC13" w:rsidR="00AF1784" w:rsidRDefault="00B52566">
          <w:pPr>
            <w:pStyle w:val="TOC1"/>
            <w:tabs>
              <w:tab w:val="right" w:leader="dot" w:pos="9769"/>
            </w:tabs>
            <w:rPr>
              <w:rFonts w:asciiTheme="minorHAnsi" w:eastAsiaTheme="minorEastAsia" w:hAnsiTheme="minorHAnsi" w:cstheme="minorBidi"/>
              <w:noProof/>
              <w:sz w:val="22"/>
              <w:szCs w:val="22"/>
              <w:lang w:eastAsia="en-AU"/>
            </w:rPr>
          </w:pPr>
          <w:hyperlink w:anchor="_Toc142397442" w:history="1">
            <w:r w:rsidR="00AF1784" w:rsidRPr="000025B3">
              <w:rPr>
                <w:rStyle w:val="Hyperlink"/>
                <w:noProof/>
              </w:rPr>
              <w:t>Melbourne heats up during winter</w:t>
            </w:r>
            <w:r w:rsidR="00AF1784">
              <w:rPr>
                <w:noProof/>
                <w:webHidden/>
              </w:rPr>
              <w:tab/>
            </w:r>
            <w:r w:rsidR="00AF1784">
              <w:rPr>
                <w:noProof/>
                <w:webHidden/>
              </w:rPr>
              <w:fldChar w:fldCharType="begin"/>
            </w:r>
            <w:r w:rsidR="00AF1784">
              <w:rPr>
                <w:noProof/>
                <w:webHidden/>
              </w:rPr>
              <w:instrText xml:space="preserve"> PAGEREF _Toc142397442 \h </w:instrText>
            </w:r>
            <w:r w:rsidR="00AF1784">
              <w:rPr>
                <w:noProof/>
                <w:webHidden/>
              </w:rPr>
            </w:r>
            <w:r w:rsidR="00AF1784">
              <w:rPr>
                <w:noProof/>
                <w:webHidden/>
              </w:rPr>
              <w:fldChar w:fldCharType="separate"/>
            </w:r>
            <w:r w:rsidR="00AF1784">
              <w:rPr>
                <w:noProof/>
                <w:webHidden/>
              </w:rPr>
              <w:t>6</w:t>
            </w:r>
            <w:r w:rsidR="00AF1784">
              <w:rPr>
                <w:noProof/>
                <w:webHidden/>
              </w:rPr>
              <w:fldChar w:fldCharType="end"/>
            </w:r>
          </w:hyperlink>
        </w:p>
        <w:p w14:paraId="0A3B39C7" w14:textId="246CEF06" w:rsidR="00AF1784" w:rsidRDefault="00B52566">
          <w:pPr>
            <w:pStyle w:val="TOC3"/>
            <w:rPr>
              <w:rFonts w:asciiTheme="minorHAnsi" w:eastAsiaTheme="minorEastAsia" w:hAnsiTheme="minorHAnsi" w:cstheme="minorBidi"/>
              <w:noProof/>
              <w:sz w:val="22"/>
              <w:szCs w:val="22"/>
              <w:lang w:eastAsia="en-AU"/>
            </w:rPr>
          </w:pPr>
          <w:hyperlink w:anchor="_Toc142397443" w:history="1">
            <w:r w:rsidR="00AF1784" w:rsidRPr="000025B3">
              <w:rPr>
                <w:rStyle w:val="Hyperlink"/>
                <w:noProof/>
              </w:rPr>
              <w:t>Table 3 – Average daily activity for June at Town Hall (West)</w:t>
            </w:r>
            <w:r w:rsidR="00AF1784">
              <w:rPr>
                <w:noProof/>
                <w:webHidden/>
              </w:rPr>
              <w:tab/>
            </w:r>
            <w:r w:rsidR="00AF1784">
              <w:rPr>
                <w:noProof/>
                <w:webHidden/>
              </w:rPr>
              <w:fldChar w:fldCharType="begin"/>
            </w:r>
            <w:r w:rsidR="00AF1784">
              <w:rPr>
                <w:noProof/>
                <w:webHidden/>
              </w:rPr>
              <w:instrText xml:space="preserve"> PAGEREF _Toc142397443 \h </w:instrText>
            </w:r>
            <w:r w:rsidR="00AF1784">
              <w:rPr>
                <w:noProof/>
                <w:webHidden/>
              </w:rPr>
            </w:r>
            <w:r w:rsidR="00AF1784">
              <w:rPr>
                <w:noProof/>
                <w:webHidden/>
              </w:rPr>
              <w:fldChar w:fldCharType="separate"/>
            </w:r>
            <w:r w:rsidR="00AF1784">
              <w:rPr>
                <w:noProof/>
                <w:webHidden/>
              </w:rPr>
              <w:t>6</w:t>
            </w:r>
            <w:r w:rsidR="00AF1784">
              <w:rPr>
                <w:noProof/>
                <w:webHidden/>
              </w:rPr>
              <w:fldChar w:fldCharType="end"/>
            </w:r>
          </w:hyperlink>
        </w:p>
        <w:p w14:paraId="1D2448C8" w14:textId="6F8F15A1" w:rsidR="00AF1784" w:rsidRDefault="00B52566">
          <w:pPr>
            <w:pStyle w:val="TOC3"/>
            <w:rPr>
              <w:rFonts w:asciiTheme="minorHAnsi" w:eastAsiaTheme="minorEastAsia" w:hAnsiTheme="minorHAnsi" w:cstheme="minorBidi"/>
              <w:noProof/>
              <w:sz w:val="22"/>
              <w:szCs w:val="22"/>
              <w:lang w:eastAsia="en-AU"/>
            </w:rPr>
          </w:pPr>
          <w:hyperlink w:anchor="_Toc142397444" w:history="1">
            <w:r w:rsidR="00AF1784" w:rsidRPr="000025B3">
              <w:rPr>
                <w:rStyle w:val="Hyperlink"/>
                <w:noProof/>
              </w:rPr>
              <w:t>Table 4 – Average daily activity at Town Hall (West) during June events</w:t>
            </w:r>
            <w:r w:rsidR="00AF1784">
              <w:rPr>
                <w:noProof/>
                <w:webHidden/>
              </w:rPr>
              <w:tab/>
            </w:r>
            <w:r w:rsidR="00AF1784">
              <w:rPr>
                <w:noProof/>
                <w:webHidden/>
              </w:rPr>
              <w:fldChar w:fldCharType="begin"/>
            </w:r>
            <w:r w:rsidR="00AF1784">
              <w:rPr>
                <w:noProof/>
                <w:webHidden/>
              </w:rPr>
              <w:instrText xml:space="preserve"> PAGEREF _Toc142397444 \h </w:instrText>
            </w:r>
            <w:r w:rsidR="00AF1784">
              <w:rPr>
                <w:noProof/>
                <w:webHidden/>
              </w:rPr>
            </w:r>
            <w:r w:rsidR="00AF1784">
              <w:rPr>
                <w:noProof/>
                <w:webHidden/>
              </w:rPr>
              <w:fldChar w:fldCharType="separate"/>
            </w:r>
            <w:r w:rsidR="00AF1784">
              <w:rPr>
                <w:noProof/>
                <w:webHidden/>
              </w:rPr>
              <w:t>7</w:t>
            </w:r>
            <w:r w:rsidR="00AF1784">
              <w:rPr>
                <w:noProof/>
                <w:webHidden/>
              </w:rPr>
              <w:fldChar w:fldCharType="end"/>
            </w:r>
          </w:hyperlink>
        </w:p>
        <w:p w14:paraId="1408F10F" w14:textId="067BCE0A" w:rsidR="00AF1784" w:rsidRDefault="00B52566">
          <w:pPr>
            <w:pStyle w:val="TOC1"/>
            <w:tabs>
              <w:tab w:val="right" w:leader="dot" w:pos="9769"/>
            </w:tabs>
            <w:rPr>
              <w:rFonts w:asciiTheme="minorHAnsi" w:eastAsiaTheme="minorEastAsia" w:hAnsiTheme="minorHAnsi" w:cstheme="minorBidi"/>
              <w:noProof/>
              <w:sz w:val="22"/>
              <w:szCs w:val="22"/>
              <w:lang w:eastAsia="en-AU"/>
            </w:rPr>
          </w:pPr>
          <w:hyperlink w:anchor="_Toc142397445" w:history="1">
            <w:r w:rsidR="00AF1784" w:rsidRPr="000025B3">
              <w:rPr>
                <w:rStyle w:val="Hyperlink"/>
                <w:noProof/>
              </w:rPr>
              <w:t>A wealth of experiences</w:t>
            </w:r>
            <w:r w:rsidR="00AF1784">
              <w:rPr>
                <w:noProof/>
                <w:webHidden/>
              </w:rPr>
              <w:tab/>
            </w:r>
            <w:r w:rsidR="00AF1784">
              <w:rPr>
                <w:noProof/>
                <w:webHidden/>
              </w:rPr>
              <w:fldChar w:fldCharType="begin"/>
            </w:r>
            <w:r w:rsidR="00AF1784">
              <w:rPr>
                <w:noProof/>
                <w:webHidden/>
              </w:rPr>
              <w:instrText xml:space="preserve"> PAGEREF _Toc142397445 \h </w:instrText>
            </w:r>
            <w:r w:rsidR="00AF1784">
              <w:rPr>
                <w:noProof/>
                <w:webHidden/>
              </w:rPr>
            </w:r>
            <w:r w:rsidR="00AF1784">
              <w:rPr>
                <w:noProof/>
                <w:webHidden/>
              </w:rPr>
              <w:fldChar w:fldCharType="separate"/>
            </w:r>
            <w:r w:rsidR="00AF1784">
              <w:rPr>
                <w:noProof/>
                <w:webHidden/>
              </w:rPr>
              <w:t>7</w:t>
            </w:r>
            <w:r w:rsidR="00AF1784">
              <w:rPr>
                <w:noProof/>
                <w:webHidden/>
              </w:rPr>
              <w:fldChar w:fldCharType="end"/>
            </w:r>
          </w:hyperlink>
        </w:p>
        <w:p w14:paraId="36147C1B" w14:textId="1D94BC86" w:rsidR="00AF1784" w:rsidRDefault="00B52566">
          <w:pPr>
            <w:pStyle w:val="TOC3"/>
            <w:rPr>
              <w:rFonts w:asciiTheme="minorHAnsi" w:eastAsiaTheme="minorEastAsia" w:hAnsiTheme="minorHAnsi" w:cstheme="minorBidi"/>
              <w:noProof/>
              <w:sz w:val="22"/>
              <w:szCs w:val="22"/>
              <w:lang w:eastAsia="en-AU"/>
            </w:rPr>
          </w:pPr>
          <w:hyperlink w:anchor="_Toc142397446" w:history="1">
            <w:r w:rsidR="00AF1784" w:rsidRPr="000025B3">
              <w:rPr>
                <w:rStyle w:val="Hyperlink"/>
                <w:noProof/>
              </w:rPr>
              <w:t>Table 5 – Average adjusted daily spend by quarter, City of Melbourne</w:t>
            </w:r>
            <w:r w:rsidR="00AF1784">
              <w:rPr>
                <w:noProof/>
                <w:webHidden/>
              </w:rPr>
              <w:tab/>
            </w:r>
            <w:r w:rsidR="00AF1784">
              <w:rPr>
                <w:noProof/>
                <w:webHidden/>
              </w:rPr>
              <w:fldChar w:fldCharType="begin"/>
            </w:r>
            <w:r w:rsidR="00AF1784">
              <w:rPr>
                <w:noProof/>
                <w:webHidden/>
              </w:rPr>
              <w:instrText xml:space="preserve"> PAGEREF _Toc142397446 \h </w:instrText>
            </w:r>
            <w:r w:rsidR="00AF1784">
              <w:rPr>
                <w:noProof/>
                <w:webHidden/>
              </w:rPr>
            </w:r>
            <w:r w:rsidR="00AF1784">
              <w:rPr>
                <w:noProof/>
                <w:webHidden/>
              </w:rPr>
              <w:fldChar w:fldCharType="separate"/>
            </w:r>
            <w:r w:rsidR="00AF1784">
              <w:rPr>
                <w:noProof/>
                <w:webHidden/>
              </w:rPr>
              <w:t>8</w:t>
            </w:r>
            <w:r w:rsidR="00AF1784">
              <w:rPr>
                <w:noProof/>
                <w:webHidden/>
              </w:rPr>
              <w:fldChar w:fldCharType="end"/>
            </w:r>
          </w:hyperlink>
        </w:p>
        <w:p w14:paraId="4AE9DF5D" w14:textId="3C17F139" w:rsidR="00AF1784" w:rsidRDefault="00B52566">
          <w:pPr>
            <w:pStyle w:val="TOC3"/>
            <w:rPr>
              <w:rFonts w:asciiTheme="minorHAnsi" w:eastAsiaTheme="minorEastAsia" w:hAnsiTheme="minorHAnsi" w:cstheme="minorBidi"/>
              <w:noProof/>
              <w:sz w:val="22"/>
              <w:szCs w:val="22"/>
              <w:lang w:eastAsia="en-AU"/>
            </w:rPr>
          </w:pPr>
          <w:hyperlink w:anchor="_Toc142397447" w:history="1">
            <w:r w:rsidR="00AF1784" w:rsidRPr="000025B3">
              <w:rPr>
                <w:rStyle w:val="Hyperlink"/>
                <w:noProof/>
              </w:rPr>
              <w:t>Table 6 – Percentage change Q2 2019 to Q2 2023, City of Melbourne</w:t>
            </w:r>
            <w:r w:rsidR="00AF1784">
              <w:rPr>
                <w:noProof/>
                <w:webHidden/>
              </w:rPr>
              <w:tab/>
            </w:r>
            <w:r w:rsidR="00AF1784">
              <w:rPr>
                <w:noProof/>
                <w:webHidden/>
              </w:rPr>
              <w:fldChar w:fldCharType="begin"/>
            </w:r>
            <w:r w:rsidR="00AF1784">
              <w:rPr>
                <w:noProof/>
                <w:webHidden/>
              </w:rPr>
              <w:instrText xml:space="preserve"> PAGEREF _Toc142397447 \h </w:instrText>
            </w:r>
            <w:r w:rsidR="00AF1784">
              <w:rPr>
                <w:noProof/>
                <w:webHidden/>
              </w:rPr>
            </w:r>
            <w:r w:rsidR="00AF1784">
              <w:rPr>
                <w:noProof/>
                <w:webHidden/>
              </w:rPr>
              <w:fldChar w:fldCharType="separate"/>
            </w:r>
            <w:r w:rsidR="00AF1784">
              <w:rPr>
                <w:noProof/>
                <w:webHidden/>
              </w:rPr>
              <w:t>8</w:t>
            </w:r>
            <w:r w:rsidR="00AF1784">
              <w:rPr>
                <w:noProof/>
                <w:webHidden/>
              </w:rPr>
              <w:fldChar w:fldCharType="end"/>
            </w:r>
          </w:hyperlink>
        </w:p>
        <w:p w14:paraId="092ADE89" w14:textId="790125E6" w:rsidR="00AF1784" w:rsidRDefault="00B52566">
          <w:pPr>
            <w:pStyle w:val="TOC1"/>
            <w:tabs>
              <w:tab w:val="right" w:leader="dot" w:pos="9769"/>
            </w:tabs>
            <w:rPr>
              <w:rFonts w:asciiTheme="minorHAnsi" w:eastAsiaTheme="minorEastAsia" w:hAnsiTheme="minorHAnsi" w:cstheme="minorBidi"/>
              <w:noProof/>
              <w:sz w:val="22"/>
              <w:szCs w:val="22"/>
              <w:lang w:eastAsia="en-AU"/>
            </w:rPr>
          </w:pPr>
          <w:hyperlink w:anchor="_Toc142397448" w:history="1">
            <w:r w:rsidR="00AF1784" w:rsidRPr="000025B3">
              <w:rPr>
                <w:rStyle w:val="Hyperlink"/>
                <w:b/>
                <w:noProof/>
              </w:rPr>
              <w:t>Appendix 1: Data Sources</w:t>
            </w:r>
            <w:r w:rsidR="00AF1784">
              <w:rPr>
                <w:noProof/>
                <w:webHidden/>
              </w:rPr>
              <w:tab/>
            </w:r>
            <w:r w:rsidR="00AF1784">
              <w:rPr>
                <w:noProof/>
                <w:webHidden/>
              </w:rPr>
              <w:fldChar w:fldCharType="begin"/>
            </w:r>
            <w:r w:rsidR="00AF1784">
              <w:rPr>
                <w:noProof/>
                <w:webHidden/>
              </w:rPr>
              <w:instrText xml:space="preserve"> PAGEREF _Toc142397448 \h </w:instrText>
            </w:r>
            <w:r w:rsidR="00AF1784">
              <w:rPr>
                <w:noProof/>
                <w:webHidden/>
              </w:rPr>
            </w:r>
            <w:r w:rsidR="00AF1784">
              <w:rPr>
                <w:noProof/>
                <w:webHidden/>
              </w:rPr>
              <w:fldChar w:fldCharType="separate"/>
            </w:r>
            <w:r w:rsidR="00AF1784">
              <w:rPr>
                <w:noProof/>
                <w:webHidden/>
              </w:rPr>
              <w:t>10</w:t>
            </w:r>
            <w:r w:rsidR="00AF1784">
              <w:rPr>
                <w:noProof/>
                <w:webHidden/>
              </w:rPr>
              <w:fldChar w:fldCharType="end"/>
            </w:r>
          </w:hyperlink>
        </w:p>
        <w:p w14:paraId="7410FCC7" w14:textId="7BE97C50" w:rsidR="2C2C06BD" w:rsidRDefault="2C2C06BD" w:rsidP="005E1643">
          <w:pPr>
            <w:pStyle w:val="TOC2"/>
            <w:tabs>
              <w:tab w:val="clear" w:pos="9769"/>
              <w:tab w:val="right" w:leader="dot" w:pos="9765"/>
            </w:tabs>
            <w:ind w:left="0"/>
            <w:rPr>
              <w:rStyle w:val="Hyperlink"/>
            </w:rPr>
          </w:pPr>
          <w:r>
            <w:fldChar w:fldCharType="end"/>
          </w:r>
        </w:p>
      </w:sdtContent>
    </w:sdt>
    <w:p w14:paraId="3F8E3355" w14:textId="1A529645" w:rsidR="002C25B8" w:rsidRDefault="00B152AF" w:rsidP="00802A52">
      <w:pPr>
        <w:pStyle w:val="Heading1"/>
        <w:rPr>
          <w:rFonts w:hint="eastAsia"/>
        </w:rPr>
      </w:pPr>
      <w:r>
        <w:rPr>
          <w:rFonts w:hint="eastAsia"/>
        </w:rPr>
        <w:br w:type="page"/>
      </w:r>
      <w:bookmarkEnd w:id="1"/>
      <w:bookmarkEnd w:id="2"/>
    </w:p>
    <w:p w14:paraId="566B7B22" w14:textId="71D56AD3" w:rsidR="00BE6801" w:rsidRPr="00802A52" w:rsidRDefault="00406F77" w:rsidP="00A42358">
      <w:pPr>
        <w:pStyle w:val="Heading1"/>
        <w:rPr>
          <w:rFonts w:hint="eastAsia"/>
        </w:rPr>
      </w:pPr>
      <w:bookmarkStart w:id="3" w:name="_Toc142397438"/>
      <w:r>
        <w:lastRenderedPageBreak/>
        <w:t>Business confidence grows with new city rhythm</w:t>
      </w:r>
      <w:bookmarkEnd w:id="3"/>
    </w:p>
    <w:p w14:paraId="47DCC69C" w14:textId="31223030" w:rsidR="00275D28" w:rsidRDefault="00406F77" w:rsidP="00275D28">
      <w:r>
        <w:t>Business owners are demonstrating confidence in the new and improved rhythm of the city and investing in upgrades to revamp their premises. Permit approvals for alterations to shops and restaurants are on the rise with 89% more than this time last year. Melbourne is the number one place to do business, with the most permit approvals of this type in Victoria.</w:t>
      </w:r>
    </w:p>
    <w:p w14:paraId="5E2D28FC" w14:textId="78694DB2" w:rsidR="00D34036" w:rsidRPr="00DB649E" w:rsidRDefault="00406F77" w:rsidP="2C2C06BD">
      <w:r>
        <w:rPr>
          <w:noProof/>
          <w:lang w:eastAsia="en-AU"/>
        </w:rPr>
        <w:drawing>
          <wp:inline distT="0" distB="0" distL="0" distR="0" wp14:anchorId="7AD694DB" wp14:editId="5307A0C7">
            <wp:extent cx="6209663" cy="1490345"/>
            <wp:effectExtent l="0" t="0" r="635" b="0"/>
            <wp:docPr id="1" name="Picture 1" descr="Permit approvals started in January 2012 at around 20 per month before increasing to between 40 and 60 per month in 2014. Permit approvals stayed at this level until the end of 2019 before decreasing back to around 20 per month during 2020 and 2021. Permit approvals began to increase in 2022 and 2023. In May 2023, the most recent available data, there were 51 approvals." title="Chart 1: Approved monthly alterations to shops and restaurants in the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209663" cy="1490345"/>
                    </a:xfrm>
                    <a:prstGeom prst="rect">
                      <a:avLst/>
                    </a:prstGeom>
                  </pic:spPr>
                </pic:pic>
              </a:graphicData>
            </a:graphic>
          </wp:inline>
        </w:drawing>
      </w:r>
    </w:p>
    <w:p w14:paraId="0FAB8EB1" w14:textId="2EF47235" w:rsidR="00406F77" w:rsidRDefault="00406F77" w:rsidP="00406F77">
      <w:pPr>
        <w:rPr>
          <w:lang w:val="en-US"/>
        </w:rPr>
      </w:pPr>
      <w:r w:rsidRPr="2C2C06BD">
        <w:rPr>
          <w:lang w:val="en-US"/>
        </w:rPr>
        <w:t>The chart above shows</w:t>
      </w:r>
      <w:r>
        <w:rPr>
          <w:lang w:val="en-US"/>
        </w:rPr>
        <w:t xml:space="preserve"> the monthly permit approvals for alterations to shops and restaurants in the City of Melbourne from January 2012 to May 2023.</w:t>
      </w:r>
      <w:r w:rsidRPr="2C2C06BD">
        <w:rPr>
          <w:lang w:val="en-US"/>
        </w:rPr>
        <w:t xml:space="preserve"> </w:t>
      </w:r>
      <w:r>
        <w:rPr>
          <w:lang w:val="en-US"/>
        </w:rPr>
        <w:t xml:space="preserve">It shows that permit approvals started in January 2012 at around 20 per month </w:t>
      </w:r>
      <w:r w:rsidR="00D64837">
        <w:rPr>
          <w:lang w:val="en-US"/>
        </w:rPr>
        <w:t>before increasing to between 40 and 60 per month in 2014. Permit approvals stayed at this level until the end of 2019 before decreasing back to around 20 per month during 2020 and 2021. Permit approvals began to increase in 2022 and 2023. In May 2023, the most recent available data, there were 51 approvals.</w:t>
      </w:r>
    </w:p>
    <w:p w14:paraId="12D81842" w14:textId="276ABEF3" w:rsidR="00D34036" w:rsidRDefault="00406F77" w:rsidP="2204ED0F">
      <w:r>
        <w:rPr>
          <w:noProof/>
          <w:lang w:eastAsia="en-AU"/>
        </w:rPr>
        <w:drawing>
          <wp:inline distT="0" distB="0" distL="0" distR="0" wp14:anchorId="59F6A19D" wp14:editId="37F88543">
            <wp:extent cx="6209663" cy="1678305"/>
            <wp:effectExtent l="0" t="0" r="635" b="0"/>
            <wp:docPr id="6" name="Picture 6" descr="The table above shows the number of monthly permit approvals for alterations to shops and restaurants for April and May from 2012 to 2023. This shows that in 2023, permit approvals were higher than they were in 2020, 2021, and 2023, and similar to years prior to 2019. &#10;&#10;In April 2022, there were 19 approved permits for alterations to shops and restaurants compared to 34 in April 2023. In May 2022, there were 27 approved permits for alterations to shops and restaurants compared to 51 in May 2023. " title="Chart 2: Approved monthly alterations in April and May to shops and restaurants in the CIty of Melbou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6209663" cy="1678305"/>
                    </a:xfrm>
                    <a:prstGeom prst="rect">
                      <a:avLst/>
                    </a:prstGeom>
                  </pic:spPr>
                </pic:pic>
              </a:graphicData>
            </a:graphic>
          </wp:inline>
        </w:drawing>
      </w:r>
    </w:p>
    <w:p w14:paraId="026DC0A1" w14:textId="7E1315E9" w:rsidR="00406F77" w:rsidRPr="00DB649E" w:rsidRDefault="00406F77" w:rsidP="00406F77">
      <w:pPr>
        <w:pStyle w:val="Heading3"/>
      </w:pPr>
      <w:bookmarkStart w:id="4" w:name="_Toc142397439"/>
      <w:r>
        <w:t xml:space="preserve">Table 1 – Approved monthly alterations to shops and restaurants in April and May, City of </w:t>
      </w:r>
      <w:bookmarkEnd w:id="4"/>
      <w:r w:rsidR="0026681D">
        <w:t>Melbourne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43"/>
        <w:gridCol w:w="1315"/>
        <w:gridCol w:w="1315"/>
      </w:tblGrid>
      <w:tr w:rsidR="00406F77" w:rsidRPr="008E376A" w14:paraId="547C7F2B" w14:textId="77777777" w:rsidTr="002767CF">
        <w:trPr>
          <w:trHeight w:val="400"/>
          <w:tblHeader/>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0BEC4526" w14:textId="21023EBC" w:rsidR="00406F77" w:rsidRPr="008E376A" w:rsidRDefault="00406F77" w:rsidP="002767CF">
            <w:pPr>
              <w:pStyle w:val="TableofFigures"/>
              <w:rPr>
                <w:b/>
              </w:rPr>
            </w:pPr>
            <w:r>
              <w:rPr>
                <w:b/>
              </w:rPr>
              <w:t>Year</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0225753C" w14:textId="00AD0A57" w:rsidR="00406F77" w:rsidRPr="008E376A" w:rsidRDefault="00406F77" w:rsidP="002767CF">
            <w:pPr>
              <w:pStyle w:val="TableofFigures"/>
              <w:rPr>
                <w:b/>
              </w:rPr>
            </w:pPr>
            <w:r>
              <w:rPr>
                <w:b/>
              </w:rPr>
              <w:t>April</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720F3BA3" w14:textId="632244ED" w:rsidR="00406F77" w:rsidRPr="008E376A" w:rsidRDefault="00406F77" w:rsidP="002767CF">
            <w:pPr>
              <w:pStyle w:val="TableofFigures"/>
              <w:rPr>
                <w:b/>
              </w:rPr>
            </w:pPr>
            <w:r>
              <w:rPr>
                <w:b/>
              </w:rPr>
              <w:t>May</w:t>
            </w:r>
          </w:p>
        </w:tc>
      </w:tr>
      <w:tr w:rsidR="00406F77" w:rsidRPr="008E376A" w14:paraId="37FC92D0"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hideMark/>
          </w:tcPr>
          <w:p w14:paraId="4727889C" w14:textId="652DF496" w:rsidR="00406F77" w:rsidRPr="00CA6190" w:rsidRDefault="00406F77" w:rsidP="002767CF">
            <w:pPr>
              <w:pStyle w:val="TableofFigures"/>
              <w:rPr>
                <w:b/>
              </w:rPr>
            </w:pPr>
            <w:r>
              <w:rPr>
                <w:b/>
              </w:rPr>
              <w:t>2012</w:t>
            </w:r>
          </w:p>
        </w:tc>
        <w:tc>
          <w:tcPr>
            <w:tcW w:w="1315" w:type="dxa"/>
            <w:tcBorders>
              <w:top w:val="single" w:sz="4" w:space="0" w:color="auto"/>
              <w:left w:val="single" w:sz="4" w:space="0" w:color="auto"/>
              <w:bottom w:val="single" w:sz="4" w:space="0" w:color="auto"/>
              <w:right w:val="single" w:sz="4" w:space="0" w:color="auto"/>
            </w:tcBorders>
            <w:hideMark/>
          </w:tcPr>
          <w:p w14:paraId="52B0A967" w14:textId="442D1979" w:rsidR="00406F77" w:rsidRPr="008E376A" w:rsidRDefault="00406F77" w:rsidP="002767CF">
            <w:pPr>
              <w:pStyle w:val="TableofFigures"/>
            </w:pPr>
            <w:r>
              <w:t>33</w:t>
            </w:r>
          </w:p>
        </w:tc>
        <w:tc>
          <w:tcPr>
            <w:tcW w:w="1315" w:type="dxa"/>
            <w:tcBorders>
              <w:top w:val="single" w:sz="4" w:space="0" w:color="auto"/>
              <w:left w:val="single" w:sz="4" w:space="0" w:color="auto"/>
              <w:bottom w:val="single" w:sz="4" w:space="0" w:color="auto"/>
              <w:right w:val="single" w:sz="4" w:space="0" w:color="auto"/>
            </w:tcBorders>
            <w:hideMark/>
          </w:tcPr>
          <w:p w14:paraId="5E5FC15D" w14:textId="08554183" w:rsidR="00406F77" w:rsidRPr="008E376A" w:rsidRDefault="00406F77" w:rsidP="002767CF">
            <w:pPr>
              <w:pStyle w:val="TableofFigures"/>
            </w:pPr>
            <w:r>
              <w:t>27</w:t>
            </w:r>
          </w:p>
        </w:tc>
      </w:tr>
      <w:tr w:rsidR="00406F77" w:rsidRPr="008E376A" w14:paraId="72B9E9FD"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hideMark/>
          </w:tcPr>
          <w:p w14:paraId="6F991698" w14:textId="62245BC1" w:rsidR="00406F77" w:rsidRPr="00CA6190" w:rsidRDefault="00406F77" w:rsidP="002767CF">
            <w:pPr>
              <w:pStyle w:val="TableofFigures"/>
              <w:rPr>
                <w:b/>
              </w:rPr>
            </w:pPr>
            <w:r>
              <w:rPr>
                <w:b/>
              </w:rPr>
              <w:t>2013</w:t>
            </w:r>
          </w:p>
        </w:tc>
        <w:tc>
          <w:tcPr>
            <w:tcW w:w="1315" w:type="dxa"/>
            <w:tcBorders>
              <w:top w:val="single" w:sz="4" w:space="0" w:color="auto"/>
              <w:left w:val="single" w:sz="4" w:space="0" w:color="auto"/>
              <w:bottom w:val="single" w:sz="4" w:space="0" w:color="auto"/>
              <w:right w:val="single" w:sz="4" w:space="0" w:color="auto"/>
            </w:tcBorders>
            <w:hideMark/>
          </w:tcPr>
          <w:p w14:paraId="5F04A7AC" w14:textId="4C345A29" w:rsidR="00406F77" w:rsidRPr="008E376A" w:rsidRDefault="00406F77" w:rsidP="002767CF">
            <w:pPr>
              <w:pStyle w:val="TableofFigures"/>
            </w:pPr>
            <w:r>
              <w:t>40</w:t>
            </w:r>
          </w:p>
        </w:tc>
        <w:tc>
          <w:tcPr>
            <w:tcW w:w="1315" w:type="dxa"/>
            <w:tcBorders>
              <w:top w:val="single" w:sz="4" w:space="0" w:color="auto"/>
              <w:left w:val="single" w:sz="4" w:space="0" w:color="auto"/>
              <w:bottom w:val="single" w:sz="4" w:space="0" w:color="auto"/>
              <w:right w:val="single" w:sz="4" w:space="0" w:color="auto"/>
            </w:tcBorders>
            <w:hideMark/>
          </w:tcPr>
          <w:p w14:paraId="50A16566" w14:textId="4C8F9EFA" w:rsidR="00406F77" w:rsidRPr="008E376A" w:rsidRDefault="00406F77" w:rsidP="002767CF">
            <w:pPr>
              <w:pStyle w:val="TableofFigures"/>
            </w:pPr>
            <w:r>
              <w:t>42</w:t>
            </w:r>
          </w:p>
        </w:tc>
      </w:tr>
      <w:tr w:rsidR="00406F77" w:rsidRPr="00BF389F" w14:paraId="3B390974"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hideMark/>
          </w:tcPr>
          <w:p w14:paraId="615292C8" w14:textId="0B61C8CE" w:rsidR="00406F77" w:rsidRPr="00CA6190" w:rsidRDefault="00406F77" w:rsidP="002767CF">
            <w:pPr>
              <w:pStyle w:val="TableofFigures"/>
              <w:rPr>
                <w:b/>
              </w:rPr>
            </w:pPr>
            <w:r>
              <w:rPr>
                <w:b/>
              </w:rPr>
              <w:t>2014</w:t>
            </w:r>
          </w:p>
        </w:tc>
        <w:tc>
          <w:tcPr>
            <w:tcW w:w="1315" w:type="dxa"/>
            <w:tcBorders>
              <w:top w:val="single" w:sz="4" w:space="0" w:color="auto"/>
              <w:left w:val="single" w:sz="4" w:space="0" w:color="auto"/>
              <w:bottom w:val="single" w:sz="4" w:space="0" w:color="auto"/>
              <w:right w:val="single" w:sz="4" w:space="0" w:color="auto"/>
            </w:tcBorders>
            <w:hideMark/>
          </w:tcPr>
          <w:p w14:paraId="37D5F6DF" w14:textId="78A03CFE" w:rsidR="00406F77" w:rsidRPr="008E376A" w:rsidRDefault="00406F77" w:rsidP="002767CF">
            <w:pPr>
              <w:pStyle w:val="TableofFigures"/>
            </w:pPr>
            <w:r>
              <w:t>45</w:t>
            </w:r>
          </w:p>
        </w:tc>
        <w:tc>
          <w:tcPr>
            <w:tcW w:w="1315" w:type="dxa"/>
            <w:tcBorders>
              <w:top w:val="single" w:sz="4" w:space="0" w:color="auto"/>
              <w:left w:val="single" w:sz="4" w:space="0" w:color="auto"/>
              <w:bottom w:val="single" w:sz="4" w:space="0" w:color="auto"/>
              <w:right w:val="single" w:sz="4" w:space="0" w:color="auto"/>
            </w:tcBorders>
            <w:hideMark/>
          </w:tcPr>
          <w:p w14:paraId="266C984A" w14:textId="79841B29" w:rsidR="00406F77" w:rsidRPr="008E376A" w:rsidRDefault="00406F77" w:rsidP="002767CF">
            <w:pPr>
              <w:pStyle w:val="TableofFigures"/>
            </w:pPr>
            <w:r>
              <w:t>55</w:t>
            </w:r>
          </w:p>
        </w:tc>
      </w:tr>
      <w:tr w:rsidR="00406F77" w:rsidRPr="000C4DCD" w14:paraId="06789123"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hideMark/>
          </w:tcPr>
          <w:p w14:paraId="162C8D45" w14:textId="177F1B00" w:rsidR="00406F77" w:rsidRPr="00CA6190" w:rsidRDefault="00406F77" w:rsidP="002767CF">
            <w:pPr>
              <w:pStyle w:val="TableofFigures"/>
              <w:rPr>
                <w:b/>
              </w:rPr>
            </w:pPr>
            <w:r>
              <w:rPr>
                <w:b/>
              </w:rPr>
              <w:t>2015</w:t>
            </w:r>
          </w:p>
        </w:tc>
        <w:tc>
          <w:tcPr>
            <w:tcW w:w="1315" w:type="dxa"/>
            <w:tcBorders>
              <w:top w:val="single" w:sz="4" w:space="0" w:color="auto"/>
              <w:left w:val="single" w:sz="4" w:space="0" w:color="auto"/>
              <w:bottom w:val="single" w:sz="4" w:space="0" w:color="auto"/>
              <w:right w:val="single" w:sz="4" w:space="0" w:color="auto"/>
            </w:tcBorders>
            <w:hideMark/>
          </w:tcPr>
          <w:p w14:paraId="463459A5" w14:textId="7013E81B" w:rsidR="00406F77" w:rsidRPr="008E376A" w:rsidRDefault="00406F77" w:rsidP="002767CF">
            <w:pPr>
              <w:pStyle w:val="TableofFigures"/>
            </w:pPr>
            <w:r>
              <w:t>41</w:t>
            </w:r>
          </w:p>
        </w:tc>
        <w:tc>
          <w:tcPr>
            <w:tcW w:w="1315" w:type="dxa"/>
            <w:tcBorders>
              <w:top w:val="single" w:sz="4" w:space="0" w:color="auto"/>
              <w:left w:val="single" w:sz="4" w:space="0" w:color="auto"/>
              <w:bottom w:val="single" w:sz="4" w:space="0" w:color="auto"/>
              <w:right w:val="single" w:sz="4" w:space="0" w:color="auto"/>
            </w:tcBorders>
            <w:hideMark/>
          </w:tcPr>
          <w:p w14:paraId="615FF704" w14:textId="7E719025" w:rsidR="00406F77" w:rsidRPr="008E376A" w:rsidRDefault="00406F77" w:rsidP="002767CF">
            <w:pPr>
              <w:pStyle w:val="TableofFigures"/>
            </w:pPr>
            <w:r>
              <w:t>55</w:t>
            </w:r>
          </w:p>
        </w:tc>
      </w:tr>
      <w:tr w:rsidR="00406F77" w:rsidRPr="00BF389F" w14:paraId="11465534"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hideMark/>
          </w:tcPr>
          <w:p w14:paraId="5A648E08" w14:textId="32770DD7" w:rsidR="00406F77" w:rsidRPr="00CA6190" w:rsidRDefault="00406F77" w:rsidP="002767CF">
            <w:pPr>
              <w:pStyle w:val="TableofFigures"/>
              <w:rPr>
                <w:b/>
              </w:rPr>
            </w:pPr>
            <w:r>
              <w:rPr>
                <w:b/>
              </w:rPr>
              <w:t>2016</w:t>
            </w:r>
          </w:p>
        </w:tc>
        <w:tc>
          <w:tcPr>
            <w:tcW w:w="1315" w:type="dxa"/>
            <w:tcBorders>
              <w:top w:val="single" w:sz="4" w:space="0" w:color="auto"/>
              <w:left w:val="single" w:sz="4" w:space="0" w:color="auto"/>
              <w:bottom w:val="single" w:sz="4" w:space="0" w:color="auto"/>
              <w:right w:val="single" w:sz="4" w:space="0" w:color="auto"/>
            </w:tcBorders>
            <w:hideMark/>
          </w:tcPr>
          <w:p w14:paraId="5EA9AA16" w14:textId="60CCF04D" w:rsidR="00406F77" w:rsidRPr="008E376A" w:rsidRDefault="00406F77" w:rsidP="002767CF">
            <w:pPr>
              <w:pStyle w:val="TableofFigures"/>
            </w:pPr>
            <w:r>
              <w:t>51</w:t>
            </w:r>
          </w:p>
        </w:tc>
        <w:tc>
          <w:tcPr>
            <w:tcW w:w="1315" w:type="dxa"/>
            <w:tcBorders>
              <w:top w:val="single" w:sz="4" w:space="0" w:color="auto"/>
              <w:left w:val="single" w:sz="4" w:space="0" w:color="auto"/>
              <w:bottom w:val="single" w:sz="4" w:space="0" w:color="auto"/>
              <w:right w:val="single" w:sz="4" w:space="0" w:color="auto"/>
            </w:tcBorders>
            <w:hideMark/>
          </w:tcPr>
          <w:p w14:paraId="2DEEFE63" w14:textId="2650F2E4" w:rsidR="00406F77" w:rsidRPr="008E376A" w:rsidRDefault="00406F77" w:rsidP="002767CF">
            <w:pPr>
              <w:pStyle w:val="TableofFigures"/>
            </w:pPr>
            <w:r>
              <w:t>52</w:t>
            </w:r>
          </w:p>
        </w:tc>
      </w:tr>
      <w:tr w:rsidR="00406F77" w:rsidRPr="00BF389F" w14:paraId="641222A1"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7DF2F3B5" w14:textId="60B660EC" w:rsidR="00406F77" w:rsidRDefault="00406F77" w:rsidP="002767CF">
            <w:pPr>
              <w:pStyle w:val="TableofFigures"/>
              <w:rPr>
                <w:b/>
              </w:rPr>
            </w:pPr>
            <w:r>
              <w:rPr>
                <w:b/>
              </w:rPr>
              <w:t>2017</w:t>
            </w:r>
          </w:p>
        </w:tc>
        <w:tc>
          <w:tcPr>
            <w:tcW w:w="1315" w:type="dxa"/>
            <w:tcBorders>
              <w:top w:val="single" w:sz="4" w:space="0" w:color="auto"/>
              <w:left w:val="single" w:sz="4" w:space="0" w:color="auto"/>
              <w:bottom w:val="single" w:sz="4" w:space="0" w:color="auto"/>
              <w:right w:val="single" w:sz="4" w:space="0" w:color="auto"/>
            </w:tcBorders>
          </w:tcPr>
          <w:p w14:paraId="6C7C538C" w14:textId="7489ADEA" w:rsidR="00406F77" w:rsidRDefault="00406F77" w:rsidP="002767CF">
            <w:pPr>
              <w:pStyle w:val="TableofFigures"/>
            </w:pPr>
            <w:r>
              <w:t>36</w:t>
            </w:r>
          </w:p>
        </w:tc>
        <w:tc>
          <w:tcPr>
            <w:tcW w:w="1315" w:type="dxa"/>
            <w:tcBorders>
              <w:top w:val="single" w:sz="4" w:space="0" w:color="auto"/>
              <w:left w:val="single" w:sz="4" w:space="0" w:color="auto"/>
              <w:bottom w:val="single" w:sz="4" w:space="0" w:color="auto"/>
              <w:right w:val="single" w:sz="4" w:space="0" w:color="auto"/>
            </w:tcBorders>
          </w:tcPr>
          <w:p w14:paraId="789E182B" w14:textId="587BB0CA" w:rsidR="00406F77" w:rsidRDefault="00406F77" w:rsidP="002767CF">
            <w:pPr>
              <w:pStyle w:val="TableofFigures"/>
            </w:pPr>
            <w:r>
              <w:t>51</w:t>
            </w:r>
          </w:p>
        </w:tc>
      </w:tr>
      <w:tr w:rsidR="00406F77" w:rsidRPr="00BF389F" w14:paraId="14D7E5BE"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26C761D1" w14:textId="4FE07D53" w:rsidR="00406F77" w:rsidRDefault="00406F77" w:rsidP="002767CF">
            <w:pPr>
              <w:pStyle w:val="TableofFigures"/>
              <w:rPr>
                <w:b/>
              </w:rPr>
            </w:pPr>
            <w:r>
              <w:rPr>
                <w:b/>
              </w:rPr>
              <w:t>2018</w:t>
            </w:r>
          </w:p>
        </w:tc>
        <w:tc>
          <w:tcPr>
            <w:tcW w:w="1315" w:type="dxa"/>
            <w:tcBorders>
              <w:top w:val="single" w:sz="4" w:space="0" w:color="auto"/>
              <w:left w:val="single" w:sz="4" w:space="0" w:color="auto"/>
              <w:bottom w:val="single" w:sz="4" w:space="0" w:color="auto"/>
              <w:right w:val="single" w:sz="4" w:space="0" w:color="auto"/>
            </w:tcBorders>
          </w:tcPr>
          <w:p w14:paraId="4A0054E9" w14:textId="552533E6" w:rsidR="00406F77" w:rsidRDefault="00406F77" w:rsidP="002767CF">
            <w:pPr>
              <w:pStyle w:val="TableofFigures"/>
            </w:pPr>
            <w:r>
              <w:t>51</w:t>
            </w:r>
          </w:p>
        </w:tc>
        <w:tc>
          <w:tcPr>
            <w:tcW w:w="1315" w:type="dxa"/>
            <w:tcBorders>
              <w:top w:val="single" w:sz="4" w:space="0" w:color="auto"/>
              <w:left w:val="single" w:sz="4" w:space="0" w:color="auto"/>
              <w:bottom w:val="single" w:sz="4" w:space="0" w:color="auto"/>
              <w:right w:val="single" w:sz="4" w:space="0" w:color="auto"/>
            </w:tcBorders>
          </w:tcPr>
          <w:p w14:paraId="09C63B26" w14:textId="7AA32CA9" w:rsidR="00406F77" w:rsidRDefault="00406F77" w:rsidP="002767CF">
            <w:pPr>
              <w:pStyle w:val="TableofFigures"/>
            </w:pPr>
            <w:r>
              <w:t>49</w:t>
            </w:r>
          </w:p>
        </w:tc>
      </w:tr>
      <w:tr w:rsidR="00406F77" w:rsidRPr="00BF389F" w14:paraId="70559A74"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399561B2" w14:textId="706A2EDF" w:rsidR="00406F77" w:rsidRDefault="00406F77" w:rsidP="002767CF">
            <w:pPr>
              <w:pStyle w:val="TableofFigures"/>
              <w:rPr>
                <w:b/>
              </w:rPr>
            </w:pPr>
            <w:r>
              <w:rPr>
                <w:b/>
              </w:rPr>
              <w:t>2019</w:t>
            </w:r>
          </w:p>
        </w:tc>
        <w:tc>
          <w:tcPr>
            <w:tcW w:w="1315" w:type="dxa"/>
            <w:tcBorders>
              <w:top w:val="single" w:sz="4" w:space="0" w:color="auto"/>
              <w:left w:val="single" w:sz="4" w:space="0" w:color="auto"/>
              <w:bottom w:val="single" w:sz="4" w:space="0" w:color="auto"/>
              <w:right w:val="single" w:sz="4" w:space="0" w:color="auto"/>
            </w:tcBorders>
          </w:tcPr>
          <w:p w14:paraId="32D1C1EE" w14:textId="60ACBB29" w:rsidR="00406F77" w:rsidRDefault="00406F77" w:rsidP="002767CF">
            <w:pPr>
              <w:pStyle w:val="TableofFigures"/>
            </w:pPr>
            <w:r>
              <w:t>38</w:t>
            </w:r>
          </w:p>
        </w:tc>
        <w:tc>
          <w:tcPr>
            <w:tcW w:w="1315" w:type="dxa"/>
            <w:tcBorders>
              <w:top w:val="single" w:sz="4" w:space="0" w:color="auto"/>
              <w:left w:val="single" w:sz="4" w:space="0" w:color="auto"/>
              <w:bottom w:val="single" w:sz="4" w:space="0" w:color="auto"/>
              <w:right w:val="single" w:sz="4" w:space="0" w:color="auto"/>
            </w:tcBorders>
          </w:tcPr>
          <w:p w14:paraId="3409A041" w14:textId="3C71A41F" w:rsidR="00406F77" w:rsidRDefault="00406F77" w:rsidP="002767CF">
            <w:pPr>
              <w:pStyle w:val="TableofFigures"/>
            </w:pPr>
            <w:r>
              <w:t>48</w:t>
            </w:r>
          </w:p>
        </w:tc>
      </w:tr>
      <w:tr w:rsidR="00406F77" w:rsidRPr="00BF389F" w14:paraId="44BF967E"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1F1340DD" w14:textId="28AE6A6C" w:rsidR="00406F77" w:rsidRDefault="00406F77" w:rsidP="002767CF">
            <w:pPr>
              <w:pStyle w:val="TableofFigures"/>
              <w:rPr>
                <w:b/>
              </w:rPr>
            </w:pPr>
            <w:r>
              <w:rPr>
                <w:b/>
              </w:rPr>
              <w:t>2020</w:t>
            </w:r>
          </w:p>
        </w:tc>
        <w:tc>
          <w:tcPr>
            <w:tcW w:w="1315" w:type="dxa"/>
            <w:tcBorders>
              <w:top w:val="single" w:sz="4" w:space="0" w:color="auto"/>
              <w:left w:val="single" w:sz="4" w:space="0" w:color="auto"/>
              <w:bottom w:val="single" w:sz="4" w:space="0" w:color="auto"/>
              <w:right w:val="single" w:sz="4" w:space="0" w:color="auto"/>
            </w:tcBorders>
          </w:tcPr>
          <w:p w14:paraId="40AC2757" w14:textId="3979088B" w:rsidR="00406F77" w:rsidRDefault="00406F77" w:rsidP="002767CF">
            <w:pPr>
              <w:pStyle w:val="TableofFigures"/>
            </w:pPr>
            <w:r>
              <w:t>14</w:t>
            </w:r>
          </w:p>
        </w:tc>
        <w:tc>
          <w:tcPr>
            <w:tcW w:w="1315" w:type="dxa"/>
            <w:tcBorders>
              <w:top w:val="single" w:sz="4" w:space="0" w:color="auto"/>
              <w:left w:val="single" w:sz="4" w:space="0" w:color="auto"/>
              <w:bottom w:val="single" w:sz="4" w:space="0" w:color="auto"/>
              <w:right w:val="single" w:sz="4" w:space="0" w:color="auto"/>
            </w:tcBorders>
          </w:tcPr>
          <w:p w14:paraId="276E1245" w14:textId="40F83997" w:rsidR="00406F77" w:rsidRDefault="00406F77" w:rsidP="002767CF">
            <w:pPr>
              <w:pStyle w:val="TableofFigures"/>
            </w:pPr>
            <w:r>
              <w:t>23</w:t>
            </w:r>
          </w:p>
        </w:tc>
      </w:tr>
      <w:tr w:rsidR="00406F77" w:rsidRPr="00BF389F" w14:paraId="2CF9CF1C"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3968DD9C" w14:textId="22A3965C" w:rsidR="00406F77" w:rsidRDefault="00406F77" w:rsidP="002767CF">
            <w:pPr>
              <w:pStyle w:val="TableofFigures"/>
              <w:rPr>
                <w:b/>
              </w:rPr>
            </w:pPr>
            <w:r>
              <w:rPr>
                <w:b/>
              </w:rPr>
              <w:t>2021</w:t>
            </w:r>
          </w:p>
        </w:tc>
        <w:tc>
          <w:tcPr>
            <w:tcW w:w="1315" w:type="dxa"/>
            <w:tcBorders>
              <w:top w:val="single" w:sz="4" w:space="0" w:color="auto"/>
              <w:left w:val="single" w:sz="4" w:space="0" w:color="auto"/>
              <w:bottom w:val="single" w:sz="4" w:space="0" w:color="auto"/>
              <w:right w:val="single" w:sz="4" w:space="0" w:color="auto"/>
            </w:tcBorders>
          </w:tcPr>
          <w:p w14:paraId="070A6E03" w14:textId="65C93910" w:rsidR="00406F77" w:rsidRDefault="00406F77" w:rsidP="002767CF">
            <w:pPr>
              <w:pStyle w:val="TableofFigures"/>
            </w:pPr>
            <w:r>
              <w:t>28</w:t>
            </w:r>
          </w:p>
        </w:tc>
        <w:tc>
          <w:tcPr>
            <w:tcW w:w="1315" w:type="dxa"/>
            <w:tcBorders>
              <w:top w:val="single" w:sz="4" w:space="0" w:color="auto"/>
              <w:left w:val="single" w:sz="4" w:space="0" w:color="auto"/>
              <w:bottom w:val="single" w:sz="4" w:space="0" w:color="auto"/>
              <w:right w:val="single" w:sz="4" w:space="0" w:color="auto"/>
            </w:tcBorders>
          </w:tcPr>
          <w:p w14:paraId="362B0F61" w14:textId="0873C214" w:rsidR="00406F77" w:rsidRDefault="00406F77" w:rsidP="002767CF">
            <w:pPr>
              <w:pStyle w:val="TableofFigures"/>
            </w:pPr>
            <w:r>
              <w:t>30</w:t>
            </w:r>
          </w:p>
        </w:tc>
      </w:tr>
      <w:tr w:rsidR="00406F77" w:rsidRPr="00BF389F" w14:paraId="217FE3B6"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068B3AF8" w14:textId="74E96420" w:rsidR="00406F77" w:rsidRDefault="00406F77" w:rsidP="002767CF">
            <w:pPr>
              <w:pStyle w:val="TableofFigures"/>
              <w:rPr>
                <w:b/>
              </w:rPr>
            </w:pPr>
            <w:r>
              <w:rPr>
                <w:b/>
              </w:rPr>
              <w:lastRenderedPageBreak/>
              <w:t>2022</w:t>
            </w:r>
          </w:p>
        </w:tc>
        <w:tc>
          <w:tcPr>
            <w:tcW w:w="1315" w:type="dxa"/>
            <w:tcBorders>
              <w:top w:val="single" w:sz="4" w:space="0" w:color="auto"/>
              <w:left w:val="single" w:sz="4" w:space="0" w:color="auto"/>
              <w:bottom w:val="single" w:sz="4" w:space="0" w:color="auto"/>
              <w:right w:val="single" w:sz="4" w:space="0" w:color="auto"/>
            </w:tcBorders>
          </w:tcPr>
          <w:p w14:paraId="2661EEBF" w14:textId="3804CF56" w:rsidR="00406F77" w:rsidRDefault="00406F77" w:rsidP="002767CF">
            <w:pPr>
              <w:pStyle w:val="TableofFigures"/>
            </w:pPr>
            <w:r>
              <w:t>19</w:t>
            </w:r>
          </w:p>
        </w:tc>
        <w:tc>
          <w:tcPr>
            <w:tcW w:w="1315" w:type="dxa"/>
            <w:tcBorders>
              <w:top w:val="single" w:sz="4" w:space="0" w:color="auto"/>
              <w:left w:val="single" w:sz="4" w:space="0" w:color="auto"/>
              <w:bottom w:val="single" w:sz="4" w:space="0" w:color="auto"/>
              <w:right w:val="single" w:sz="4" w:space="0" w:color="auto"/>
            </w:tcBorders>
          </w:tcPr>
          <w:p w14:paraId="1610E723" w14:textId="1D323201" w:rsidR="00406F77" w:rsidRDefault="00406F77" w:rsidP="002767CF">
            <w:pPr>
              <w:pStyle w:val="TableofFigures"/>
            </w:pPr>
            <w:r>
              <w:t>27</w:t>
            </w:r>
          </w:p>
        </w:tc>
      </w:tr>
      <w:tr w:rsidR="00406F77" w:rsidRPr="00BF389F" w14:paraId="02FFCBCF" w14:textId="77777777" w:rsidTr="002767CF">
        <w:trPr>
          <w:trHeight w:val="267"/>
        </w:trPr>
        <w:tc>
          <w:tcPr>
            <w:tcW w:w="1443" w:type="dxa"/>
            <w:tcBorders>
              <w:top w:val="single" w:sz="4" w:space="0" w:color="auto"/>
              <w:left w:val="single" w:sz="4" w:space="0" w:color="auto"/>
              <w:bottom w:val="single" w:sz="4" w:space="0" w:color="auto"/>
              <w:right w:val="single" w:sz="4" w:space="0" w:color="auto"/>
            </w:tcBorders>
          </w:tcPr>
          <w:p w14:paraId="424F8739" w14:textId="64ED16C0" w:rsidR="00406F77" w:rsidRDefault="00406F77" w:rsidP="002767CF">
            <w:pPr>
              <w:pStyle w:val="TableofFigures"/>
              <w:rPr>
                <w:b/>
              </w:rPr>
            </w:pPr>
            <w:r>
              <w:rPr>
                <w:b/>
              </w:rPr>
              <w:t>2023</w:t>
            </w:r>
          </w:p>
        </w:tc>
        <w:tc>
          <w:tcPr>
            <w:tcW w:w="1315" w:type="dxa"/>
            <w:tcBorders>
              <w:top w:val="single" w:sz="4" w:space="0" w:color="auto"/>
              <w:left w:val="single" w:sz="4" w:space="0" w:color="auto"/>
              <w:bottom w:val="single" w:sz="4" w:space="0" w:color="auto"/>
              <w:right w:val="single" w:sz="4" w:space="0" w:color="auto"/>
            </w:tcBorders>
          </w:tcPr>
          <w:p w14:paraId="000361D7" w14:textId="3CD2412B" w:rsidR="00406F77" w:rsidRDefault="00406F77" w:rsidP="002767CF">
            <w:pPr>
              <w:pStyle w:val="TableofFigures"/>
            </w:pPr>
            <w:r>
              <w:t>34</w:t>
            </w:r>
          </w:p>
        </w:tc>
        <w:tc>
          <w:tcPr>
            <w:tcW w:w="1315" w:type="dxa"/>
            <w:tcBorders>
              <w:top w:val="single" w:sz="4" w:space="0" w:color="auto"/>
              <w:left w:val="single" w:sz="4" w:space="0" w:color="auto"/>
              <w:bottom w:val="single" w:sz="4" w:space="0" w:color="auto"/>
              <w:right w:val="single" w:sz="4" w:space="0" w:color="auto"/>
            </w:tcBorders>
          </w:tcPr>
          <w:p w14:paraId="1CCD1733" w14:textId="24FBABC1" w:rsidR="00406F77" w:rsidRDefault="00406F77" w:rsidP="002767CF">
            <w:pPr>
              <w:pStyle w:val="TableofFigures"/>
            </w:pPr>
            <w:r>
              <w:t>51</w:t>
            </w:r>
          </w:p>
        </w:tc>
      </w:tr>
    </w:tbl>
    <w:p w14:paraId="452C2C25" w14:textId="322A0035" w:rsidR="00406F77" w:rsidRDefault="00406F77" w:rsidP="2204ED0F"/>
    <w:p w14:paraId="50B380C1" w14:textId="6ED38589" w:rsidR="7C54CAD9" w:rsidRDefault="00D64837" w:rsidP="2C2C06BD">
      <w:pPr>
        <w:rPr>
          <w:lang w:val="en-US"/>
        </w:rPr>
      </w:pPr>
      <w:r>
        <w:rPr>
          <w:lang w:val="en-US"/>
        </w:rPr>
        <w:t>The table above shows the number of monthly permit approvals for alterations to shops and restaurants for April and May from 2012 to 2023. This shows that in 2023, permit approvals were higher than they were in 2020, 2021, and 2023, and similar to years prior to 2019.</w:t>
      </w:r>
    </w:p>
    <w:p w14:paraId="321DD375" w14:textId="2406978D" w:rsidR="00275D28" w:rsidRDefault="2EC7FBA2" w:rsidP="00275D28">
      <w:r>
        <w:t xml:space="preserve">In </w:t>
      </w:r>
      <w:r w:rsidR="00D64837">
        <w:t xml:space="preserve">April 2022, there were 19 approved permits for alterations to shops and </w:t>
      </w:r>
      <w:r w:rsidR="0026681D">
        <w:t>restaurants</w:t>
      </w:r>
      <w:r w:rsidR="00D64837">
        <w:t xml:space="preserve"> compared to 34 in April 2023. In May 2022, there were 27 approved permits for alterations to shops and </w:t>
      </w:r>
      <w:r w:rsidR="0026681D">
        <w:t>restaurants</w:t>
      </w:r>
      <w:r w:rsidR="00D64837">
        <w:t xml:space="preserve"> compared to 51 in May 2023.</w:t>
      </w:r>
    </w:p>
    <w:p w14:paraId="4F262195" w14:textId="7B026BF2" w:rsidR="00275D28" w:rsidRDefault="00882916" w:rsidP="00A42358">
      <w:pPr>
        <w:pStyle w:val="Heading1"/>
        <w:rPr>
          <w:rFonts w:hint="eastAsia"/>
        </w:rPr>
      </w:pPr>
      <w:bookmarkStart w:id="5" w:name="_Toc142397440"/>
      <w:r>
        <w:t>Hotel room boom</w:t>
      </w:r>
      <w:bookmarkEnd w:id="5"/>
    </w:p>
    <w:p w14:paraId="7E59A415" w14:textId="734E4AFD" w:rsidR="00275D28" w:rsidRDefault="00882916" w:rsidP="00275D28">
      <w:r>
        <w:t>The build of hotel rooms reflects a reinvigorated confidence in Melbourne’s economy with an extra 10,000 rooms becoming available in the last four years; there are also more than 1200 new hotel rooms coming through the pipeline. Separately, bookings are also up by 23% since May 2019 – all providing a strong basis to welcome Melbourne’s visitors.</w:t>
      </w:r>
    </w:p>
    <w:p w14:paraId="0A70090C" w14:textId="162E55BC" w:rsidR="00546DCC" w:rsidRPr="002C25B8" w:rsidRDefault="00882916" w:rsidP="2C2C06BD">
      <w:r>
        <w:rPr>
          <w:noProof/>
          <w:lang w:eastAsia="en-AU"/>
        </w:rPr>
        <w:drawing>
          <wp:inline distT="0" distB="0" distL="0" distR="0" wp14:anchorId="0A9BD143" wp14:editId="4E4CE4AD">
            <wp:extent cx="6209663" cy="2728595"/>
            <wp:effectExtent l="0" t="0" r="635" b="0"/>
            <wp:docPr id="7" name="Picture 7" descr="The supply of hotel rooms is shown to be steadily increasing over time and is at its highest level in May 2023 at around 28,000 rooms per day after starting at around 18,000 rooms per day in January 2019. The demand for hotel rooms was at around 15,000 rooms per day in January 2019. This number decreased during 2021 to as low as 8,000 rooms per day before increasing during 2022 and 2023 to around 18,000 rooms in May 2023. Demand for hotel rooms was highest in March 2023 at around 21,000 rooms per day. " title="Chart 3: Average daily accomodation supply and demand i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6209663" cy="2728595"/>
                    </a:xfrm>
                    <a:prstGeom prst="rect">
                      <a:avLst/>
                    </a:prstGeom>
                  </pic:spPr>
                </pic:pic>
              </a:graphicData>
            </a:graphic>
          </wp:inline>
        </w:drawing>
      </w:r>
    </w:p>
    <w:p w14:paraId="73518C78" w14:textId="3667CDC8" w:rsidR="00882916" w:rsidRPr="00DB649E" w:rsidRDefault="00882916" w:rsidP="00882916">
      <w:pPr>
        <w:pStyle w:val="Heading3"/>
      </w:pPr>
      <w:bookmarkStart w:id="6" w:name="_Toc142397441"/>
      <w:r>
        <w:t xml:space="preserve">Table 2 – Average daily accommodation supply and demand, City of </w:t>
      </w:r>
      <w:bookmarkEnd w:id="6"/>
      <w:r w:rsidR="0026681D">
        <w:t>Melbourne</w:t>
      </w:r>
    </w:p>
    <w:tbl>
      <w:tblPr>
        <w:tblW w:w="41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08"/>
        <w:gridCol w:w="1093"/>
        <w:gridCol w:w="939"/>
        <w:gridCol w:w="1200"/>
      </w:tblGrid>
      <w:tr w:rsidR="006C6401" w:rsidRPr="008E376A" w14:paraId="57A87333" w14:textId="77777777" w:rsidTr="006C6401">
        <w:trPr>
          <w:tblHeader/>
        </w:trPr>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3A68D5DB" w14:textId="635E6D0F" w:rsidR="006C6401" w:rsidRPr="008E376A" w:rsidRDefault="006C6401" w:rsidP="00E37E2C">
            <w:pPr>
              <w:pStyle w:val="TableofFigures"/>
              <w:rPr>
                <w:b/>
              </w:rPr>
            </w:pPr>
            <w:r>
              <w:rPr>
                <w:b/>
              </w:rPr>
              <w:t>Year</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0BDF9A6E" w14:textId="6203C64B" w:rsidR="006C6401" w:rsidRPr="008E376A" w:rsidRDefault="006C6401" w:rsidP="00E37E2C">
            <w:pPr>
              <w:pStyle w:val="TableofFigures"/>
              <w:rPr>
                <w:b/>
              </w:rPr>
            </w:pPr>
            <w:r>
              <w:rPr>
                <w:b/>
              </w:rPr>
              <w:t>Month</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7DFE89F6" w14:textId="1681C453" w:rsidR="006C6401" w:rsidRPr="008E376A" w:rsidRDefault="006C6401" w:rsidP="00E37E2C">
            <w:pPr>
              <w:pStyle w:val="TableofFigures"/>
              <w:rPr>
                <w:b/>
              </w:rPr>
            </w:pPr>
            <w:r>
              <w:rPr>
                <w:b/>
              </w:rPr>
              <w:t>Supply</w:t>
            </w:r>
          </w:p>
        </w:tc>
        <w:tc>
          <w:tcPr>
            <w:tcW w:w="1200" w:type="dxa"/>
            <w:tcBorders>
              <w:top w:val="single" w:sz="4" w:space="0" w:color="auto"/>
              <w:left w:val="single" w:sz="4" w:space="0" w:color="auto"/>
              <w:bottom w:val="single" w:sz="4" w:space="0" w:color="auto"/>
              <w:right w:val="single" w:sz="4" w:space="0" w:color="auto"/>
            </w:tcBorders>
          </w:tcPr>
          <w:p w14:paraId="531FDC91" w14:textId="4BEAEB9E" w:rsidR="006C6401" w:rsidRDefault="006C6401" w:rsidP="00E37E2C">
            <w:pPr>
              <w:pStyle w:val="TableofFigures"/>
              <w:rPr>
                <w:b/>
              </w:rPr>
            </w:pPr>
            <w:r>
              <w:rPr>
                <w:b/>
              </w:rPr>
              <w:t>Demand</w:t>
            </w:r>
          </w:p>
        </w:tc>
      </w:tr>
      <w:tr w:rsidR="006C6401" w:rsidRPr="008E376A" w14:paraId="6839CC29" w14:textId="77777777" w:rsidTr="006C6401">
        <w:tc>
          <w:tcPr>
            <w:tcW w:w="908" w:type="dxa"/>
            <w:tcBorders>
              <w:top w:val="single" w:sz="4" w:space="0" w:color="auto"/>
              <w:left w:val="single" w:sz="4" w:space="0" w:color="auto"/>
              <w:bottom w:val="single" w:sz="4" w:space="0" w:color="auto"/>
              <w:right w:val="single" w:sz="4" w:space="0" w:color="auto"/>
            </w:tcBorders>
            <w:hideMark/>
          </w:tcPr>
          <w:p w14:paraId="650B5A13" w14:textId="77777777" w:rsidR="006C6401" w:rsidRPr="00680C6F" w:rsidRDefault="006C6401" w:rsidP="00E37E2C">
            <w:pPr>
              <w:pStyle w:val="TableofFigures"/>
              <w:rPr>
                <w:b/>
              </w:rPr>
            </w:pPr>
            <w:r w:rsidRPr="00680C6F">
              <w:rPr>
                <w:b/>
              </w:rPr>
              <w:t>2019</w:t>
            </w:r>
          </w:p>
        </w:tc>
        <w:tc>
          <w:tcPr>
            <w:tcW w:w="1093" w:type="dxa"/>
            <w:tcBorders>
              <w:top w:val="single" w:sz="4" w:space="0" w:color="auto"/>
              <w:left w:val="single" w:sz="4" w:space="0" w:color="auto"/>
              <w:bottom w:val="single" w:sz="4" w:space="0" w:color="auto"/>
              <w:right w:val="single" w:sz="4" w:space="0" w:color="auto"/>
            </w:tcBorders>
            <w:hideMark/>
          </w:tcPr>
          <w:p w14:paraId="1A4B5185" w14:textId="1CC13B69" w:rsidR="006C6401" w:rsidRPr="00680C6F" w:rsidRDefault="006C6401" w:rsidP="2204ED0F">
            <w:pPr>
              <w:spacing w:after="0" w:line="240" w:lineRule="auto"/>
              <w:rPr>
                <w:rFonts w:cs="Arial"/>
                <w:color w:val="000000"/>
                <w:lang w:eastAsia="en-AU"/>
              </w:rPr>
            </w:pPr>
            <w:r>
              <w:rPr>
                <w:rFonts w:cs="Arial"/>
                <w:color w:val="000000" w:themeColor="text1"/>
              </w:rPr>
              <w:t>January</w:t>
            </w:r>
          </w:p>
        </w:tc>
        <w:tc>
          <w:tcPr>
            <w:tcW w:w="939" w:type="dxa"/>
            <w:tcBorders>
              <w:top w:val="single" w:sz="4" w:space="0" w:color="auto"/>
              <w:left w:val="single" w:sz="4" w:space="0" w:color="auto"/>
              <w:bottom w:val="single" w:sz="4" w:space="0" w:color="auto"/>
              <w:right w:val="single" w:sz="4" w:space="0" w:color="auto"/>
            </w:tcBorders>
            <w:hideMark/>
          </w:tcPr>
          <w:p w14:paraId="266D9EE7" w14:textId="450B205A" w:rsidR="006C6401" w:rsidRPr="00680C6F" w:rsidRDefault="006C6401" w:rsidP="2204ED0F">
            <w:pPr>
              <w:spacing w:after="0" w:line="240" w:lineRule="auto"/>
              <w:rPr>
                <w:rFonts w:cs="Arial"/>
                <w:color w:val="000000"/>
                <w:lang w:eastAsia="en-AU"/>
              </w:rPr>
            </w:pPr>
            <w:r>
              <w:rPr>
                <w:rFonts w:cs="Arial"/>
                <w:color w:val="000000" w:themeColor="text1"/>
              </w:rPr>
              <w:t>18068</w:t>
            </w:r>
          </w:p>
        </w:tc>
        <w:tc>
          <w:tcPr>
            <w:tcW w:w="1200" w:type="dxa"/>
            <w:tcBorders>
              <w:top w:val="single" w:sz="4" w:space="0" w:color="auto"/>
              <w:left w:val="single" w:sz="4" w:space="0" w:color="auto"/>
              <w:bottom w:val="single" w:sz="4" w:space="0" w:color="auto"/>
              <w:right w:val="single" w:sz="4" w:space="0" w:color="auto"/>
            </w:tcBorders>
          </w:tcPr>
          <w:p w14:paraId="467F137A" w14:textId="71C3AE39" w:rsidR="006C6401" w:rsidRPr="00680C6F" w:rsidRDefault="0076115C" w:rsidP="2204ED0F">
            <w:pPr>
              <w:spacing w:after="0" w:line="240" w:lineRule="auto"/>
              <w:rPr>
                <w:rFonts w:cs="Arial"/>
                <w:color w:val="000000"/>
                <w:lang w:eastAsia="en-AU"/>
              </w:rPr>
            </w:pPr>
            <w:r>
              <w:rPr>
                <w:rFonts w:cs="Arial"/>
                <w:color w:val="000000" w:themeColor="text1"/>
              </w:rPr>
              <w:t>14665.5</w:t>
            </w:r>
          </w:p>
        </w:tc>
      </w:tr>
      <w:tr w:rsidR="006C6401" w:rsidRPr="008E376A" w14:paraId="5851D3EE" w14:textId="77777777" w:rsidTr="006C6401">
        <w:tc>
          <w:tcPr>
            <w:tcW w:w="908" w:type="dxa"/>
            <w:tcBorders>
              <w:top w:val="single" w:sz="4" w:space="0" w:color="auto"/>
              <w:left w:val="single" w:sz="4" w:space="0" w:color="auto"/>
              <w:bottom w:val="single" w:sz="4" w:space="0" w:color="auto"/>
              <w:right w:val="single" w:sz="4" w:space="0" w:color="auto"/>
            </w:tcBorders>
            <w:hideMark/>
          </w:tcPr>
          <w:p w14:paraId="1FBE425F" w14:textId="4E19FD1F"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hideMark/>
          </w:tcPr>
          <w:p w14:paraId="5986A4C0" w14:textId="4A8A6172" w:rsidR="006C6401" w:rsidRPr="00680C6F" w:rsidRDefault="006C6401" w:rsidP="2204ED0F">
            <w:pPr>
              <w:spacing w:after="0" w:line="240" w:lineRule="auto"/>
              <w:rPr>
                <w:rFonts w:cs="Arial"/>
                <w:color w:val="000000"/>
                <w:lang w:eastAsia="en-AU"/>
              </w:rPr>
            </w:pPr>
            <w:r>
              <w:rPr>
                <w:rFonts w:cs="Arial"/>
                <w:color w:val="000000" w:themeColor="text1"/>
              </w:rPr>
              <w:t>February</w:t>
            </w:r>
          </w:p>
        </w:tc>
        <w:tc>
          <w:tcPr>
            <w:tcW w:w="939" w:type="dxa"/>
            <w:tcBorders>
              <w:top w:val="single" w:sz="4" w:space="0" w:color="auto"/>
              <w:left w:val="single" w:sz="4" w:space="0" w:color="auto"/>
              <w:bottom w:val="single" w:sz="4" w:space="0" w:color="auto"/>
              <w:right w:val="single" w:sz="4" w:space="0" w:color="auto"/>
            </w:tcBorders>
            <w:hideMark/>
          </w:tcPr>
          <w:p w14:paraId="444C9048" w14:textId="5123A35C" w:rsidR="006C6401" w:rsidRPr="00680C6F" w:rsidRDefault="006C6401" w:rsidP="2204ED0F">
            <w:pPr>
              <w:spacing w:after="0" w:line="240" w:lineRule="auto"/>
              <w:rPr>
                <w:rFonts w:cs="Arial"/>
                <w:color w:val="000000"/>
                <w:lang w:eastAsia="en-AU"/>
              </w:rPr>
            </w:pPr>
            <w:r>
              <w:rPr>
                <w:rFonts w:cs="Arial"/>
                <w:color w:val="000000" w:themeColor="text1"/>
              </w:rPr>
              <w:t>18066</w:t>
            </w:r>
          </w:p>
        </w:tc>
        <w:tc>
          <w:tcPr>
            <w:tcW w:w="1200" w:type="dxa"/>
            <w:tcBorders>
              <w:top w:val="single" w:sz="4" w:space="0" w:color="auto"/>
              <w:left w:val="single" w:sz="4" w:space="0" w:color="auto"/>
              <w:bottom w:val="single" w:sz="4" w:space="0" w:color="auto"/>
              <w:right w:val="single" w:sz="4" w:space="0" w:color="auto"/>
            </w:tcBorders>
          </w:tcPr>
          <w:p w14:paraId="3E5B14E0" w14:textId="6EFED55F" w:rsidR="006C6401" w:rsidRPr="00680C6F" w:rsidRDefault="0076115C" w:rsidP="2204ED0F">
            <w:pPr>
              <w:spacing w:after="0" w:line="240" w:lineRule="auto"/>
              <w:rPr>
                <w:rFonts w:cs="Arial"/>
                <w:color w:val="000000"/>
                <w:lang w:eastAsia="en-AU"/>
              </w:rPr>
            </w:pPr>
            <w:r>
              <w:rPr>
                <w:rFonts w:cs="Arial"/>
                <w:color w:val="000000" w:themeColor="text1"/>
              </w:rPr>
              <w:t>16527.3</w:t>
            </w:r>
          </w:p>
        </w:tc>
      </w:tr>
      <w:tr w:rsidR="006C6401" w:rsidRPr="008E376A" w14:paraId="71FFFC3C" w14:textId="77777777" w:rsidTr="006C6401">
        <w:tc>
          <w:tcPr>
            <w:tcW w:w="908" w:type="dxa"/>
            <w:tcBorders>
              <w:top w:val="single" w:sz="4" w:space="0" w:color="auto"/>
              <w:left w:val="single" w:sz="4" w:space="0" w:color="auto"/>
              <w:bottom w:val="single" w:sz="4" w:space="0" w:color="auto"/>
              <w:right w:val="single" w:sz="4" w:space="0" w:color="auto"/>
            </w:tcBorders>
          </w:tcPr>
          <w:p w14:paraId="6354D697" w14:textId="73983557"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48B9582A" w14:textId="7AE26EA7" w:rsidR="006C6401" w:rsidRPr="2204ED0F" w:rsidRDefault="006C6401" w:rsidP="2204ED0F">
            <w:pPr>
              <w:spacing w:after="0" w:line="240" w:lineRule="auto"/>
              <w:rPr>
                <w:rFonts w:cs="Arial"/>
                <w:color w:val="000000" w:themeColor="text1"/>
              </w:rPr>
            </w:pPr>
            <w:r>
              <w:rPr>
                <w:rFonts w:cs="Arial"/>
                <w:color w:val="000000" w:themeColor="text1"/>
              </w:rPr>
              <w:t>March</w:t>
            </w:r>
          </w:p>
        </w:tc>
        <w:tc>
          <w:tcPr>
            <w:tcW w:w="939" w:type="dxa"/>
            <w:tcBorders>
              <w:top w:val="single" w:sz="4" w:space="0" w:color="auto"/>
              <w:left w:val="single" w:sz="4" w:space="0" w:color="auto"/>
              <w:bottom w:val="single" w:sz="4" w:space="0" w:color="auto"/>
              <w:right w:val="single" w:sz="4" w:space="0" w:color="auto"/>
            </w:tcBorders>
          </w:tcPr>
          <w:p w14:paraId="09782006" w14:textId="03ED383C" w:rsidR="006C6401" w:rsidRPr="2204ED0F" w:rsidRDefault="006C6401" w:rsidP="2204ED0F">
            <w:pPr>
              <w:spacing w:after="0" w:line="240" w:lineRule="auto"/>
              <w:rPr>
                <w:rFonts w:cs="Arial"/>
                <w:color w:val="000000" w:themeColor="text1"/>
              </w:rPr>
            </w:pPr>
            <w:r>
              <w:rPr>
                <w:rFonts w:cs="Arial"/>
                <w:color w:val="000000" w:themeColor="text1"/>
              </w:rPr>
              <w:t>18071</w:t>
            </w:r>
          </w:p>
        </w:tc>
        <w:tc>
          <w:tcPr>
            <w:tcW w:w="1200" w:type="dxa"/>
            <w:tcBorders>
              <w:top w:val="single" w:sz="4" w:space="0" w:color="auto"/>
              <w:left w:val="single" w:sz="4" w:space="0" w:color="auto"/>
              <w:bottom w:val="single" w:sz="4" w:space="0" w:color="auto"/>
              <w:right w:val="single" w:sz="4" w:space="0" w:color="auto"/>
            </w:tcBorders>
          </w:tcPr>
          <w:p w14:paraId="607134B5" w14:textId="09253C57" w:rsidR="006C6401" w:rsidRPr="2204ED0F" w:rsidRDefault="0076115C" w:rsidP="2204ED0F">
            <w:pPr>
              <w:spacing w:after="0" w:line="240" w:lineRule="auto"/>
              <w:rPr>
                <w:rFonts w:cs="Arial"/>
                <w:color w:val="000000" w:themeColor="text1"/>
              </w:rPr>
            </w:pPr>
            <w:r>
              <w:rPr>
                <w:rFonts w:cs="Arial"/>
                <w:color w:val="000000" w:themeColor="text1"/>
              </w:rPr>
              <w:t>15875.3</w:t>
            </w:r>
          </w:p>
        </w:tc>
      </w:tr>
      <w:tr w:rsidR="006C6401" w:rsidRPr="008E376A" w14:paraId="31F4EFBD" w14:textId="77777777" w:rsidTr="006C6401">
        <w:tc>
          <w:tcPr>
            <w:tcW w:w="908" w:type="dxa"/>
            <w:tcBorders>
              <w:top w:val="single" w:sz="4" w:space="0" w:color="auto"/>
              <w:left w:val="single" w:sz="4" w:space="0" w:color="auto"/>
              <w:bottom w:val="single" w:sz="4" w:space="0" w:color="auto"/>
              <w:right w:val="single" w:sz="4" w:space="0" w:color="auto"/>
            </w:tcBorders>
          </w:tcPr>
          <w:p w14:paraId="047C8D00" w14:textId="1C9D2828"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3939EE93" w14:textId="392BF2D6" w:rsidR="006C6401" w:rsidRPr="2204ED0F" w:rsidRDefault="006C6401" w:rsidP="2204ED0F">
            <w:pPr>
              <w:spacing w:after="0" w:line="240" w:lineRule="auto"/>
              <w:rPr>
                <w:rFonts w:cs="Arial"/>
                <w:color w:val="000000" w:themeColor="text1"/>
              </w:rPr>
            </w:pPr>
            <w:r>
              <w:rPr>
                <w:rFonts w:cs="Arial"/>
                <w:color w:val="000000" w:themeColor="text1"/>
              </w:rPr>
              <w:t>April</w:t>
            </w:r>
          </w:p>
        </w:tc>
        <w:tc>
          <w:tcPr>
            <w:tcW w:w="939" w:type="dxa"/>
            <w:tcBorders>
              <w:top w:val="single" w:sz="4" w:space="0" w:color="auto"/>
              <w:left w:val="single" w:sz="4" w:space="0" w:color="auto"/>
              <w:bottom w:val="single" w:sz="4" w:space="0" w:color="auto"/>
              <w:right w:val="single" w:sz="4" w:space="0" w:color="auto"/>
            </w:tcBorders>
          </w:tcPr>
          <w:p w14:paraId="7E82525E" w14:textId="1C36A58B" w:rsidR="006C6401" w:rsidRPr="2204ED0F" w:rsidRDefault="006C6401" w:rsidP="2204ED0F">
            <w:pPr>
              <w:spacing w:after="0" w:line="240" w:lineRule="auto"/>
              <w:rPr>
                <w:rFonts w:cs="Arial"/>
                <w:color w:val="000000" w:themeColor="text1"/>
              </w:rPr>
            </w:pPr>
            <w:r>
              <w:rPr>
                <w:rFonts w:cs="Arial"/>
                <w:color w:val="000000" w:themeColor="text1"/>
              </w:rPr>
              <w:t>18143</w:t>
            </w:r>
          </w:p>
        </w:tc>
        <w:tc>
          <w:tcPr>
            <w:tcW w:w="1200" w:type="dxa"/>
            <w:tcBorders>
              <w:top w:val="single" w:sz="4" w:space="0" w:color="auto"/>
              <w:left w:val="single" w:sz="4" w:space="0" w:color="auto"/>
              <w:bottom w:val="single" w:sz="4" w:space="0" w:color="auto"/>
              <w:right w:val="single" w:sz="4" w:space="0" w:color="auto"/>
            </w:tcBorders>
          </w:tcPr>
          <w:p w14:paraId="689EDF99" w14:textId="6664F392" w:rsidR="006C6401" w:rsidRPr="2204ED0F" w:rsidRDefault="0076115C" w:rsidP="2204ED0F">
            <w:pPr>
              <w:spacing w:after="0" w:line="240" w:lineRule="auto"/>
              <w:rPr>
                <w:rFonts w:cs="Arial"/>
                <w:color w:val="000000" w:themeColor="text1"/>
              </w:rPr>
            </w:pPr>
            <w:r>
              <w:rPr>
                <w:rFonts w:cs="Arial"/>
                <w:color w:val="000000" w:themeColor="text1"/>
              </w:rPr>
              <w:t>14458.1</w:t>
            </w:r>
          </w:p>
        </w:tc>
      </w:tr>
      <w:tr w:rsidR="006C6401" w:rsidRPr="008E376A" w14:paraId="39FE9223" w14:textId="77777777" w:rsidTr="006C6401">
        <w:tc>
          <w:tcPr>
            <w:tcW w:w="908" w:type="dxa"/>
            <w:tcBorders>
              <w:top w:val="single" w:sz="4" w:space="0" w:color="auto"/>
              <w:left w:val="single" w:sz="4" w:space="0" w:color="auto"/>
              <w:bottom w:val="single" w:sz="4" w:space="0" w:color="auto"/>
              <w:right w:val="single" w:sz="4" w:space="0" w:color="auto"/>
            </w:tcBorders>
          </w:tcPr>
          <w:p w14:paraId="1C9DE281" w14:textId="41F91BD1"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70073538" w14:textId="32C55E16" w:rsidR="006C6401" w:rsidRPr="2204ED0F" w:rsidRDefault="006C6401" w:rsidP="2204ED0F">
            <w:pPr>
              <w:spacing w:after="0" w:line="240" w:lineRule="auto"/>
              <w:rPr>
                <w:rFonts w:cs="Arial"/>
                <w:color w:val="000000" w:themeColor="text1"/>
              </w:rPr>
            </w:pPr>
            <w:r>
              <w:rPr>
                <w:rFonts w:cs="Arial"/>
                <w:color w:val="000000" w:themeColor="text1"/>
              </w:rPr>
              <w:t>May</w:t>
            </w:r>
          </w:p>
        </w:tc>
        <w:tc>
          <w:tcPr>
            <w:tcW w:w="939" w:type="dxa"/>
            <w:tcBorders>
              <w:top w:val="single" w:sz="4" w:space="0" w:color="auto"/>
              <w:left w:val="single" w:sz="4" w:space="0" w:color="auto"/>
              <w:bottom w:val="single" w:sz="4" w:space="0" w:color="auto"/>
              <w:right w:val="single" w:sz="4" w:space="0" w:color="auto"/>
            </w:tcBorders>
          </w:tcPr>
          <w:p w14:paraId="5F9194B0" w14:textId="74FF3124" w:rsidR="006C6401" w:rsidRPr="2204ED0F" w:rsidRDefault="006C6401" w:rsidP="2204ED0F">
            <w:pPr>
              <w:spacing w:after="0" w:line="240" w:lineRule="auto"/>
              <w:rPr>
                <w:rFonts w:cs="Arial"/>
                <w:color w:val="000000" w:themeColor="text1"/>
              </w:rPr>
            </w:pPr>
            <w:r>
              <w:rPr>
                <w:rFonts w:cs="Arial"/>
                <w:color w:val="000000" w:themeColor="text1"/>
              </w:rPr>
              <w:t>18235</w:t>
            </w:r>
          </w:p>
        </w:tc>
        <w:tc>
          <w:tcPr>
            <w:tcW w:w="1200" w:type="dxa"/>
            <w:tcBorders>
              <w:top w:val="single" w:sz="4" w:space="0" w:color="auto"/>
              <w:left w:val="single" w:sz="4" w:space="0" w:color="auto"/>
              <w:bottom w:val="single" w:sz="4" w:space="0" w:color="auto"/>
              <w:right w:val="single" w:sz="4" w:space="0" w:color="auto"/>
            </w:tcBorders>
          </w:tcPr>
          <w:p w14:paraId="6F01FAC7" w14:textId="00DB9E53" w:rsidR="006C6401" w:rsidRPr="2204ED0F" w:rsidRDefault="0076115C" w:rsidP="2204ED0F">
            <w:pPr>
              <w:spacing w:after="0" w:line="240" w:lineRule="auto"/>
              <w:rPr>
                <w:rFonts w:cs="Arial"/>
                <w:color w:val="000000" w:themeColor="text1"/>
              </w:rPr>
            </w:pPr>
            <w:r>
              <w:rPr>
                <w:rFonts w:cs="Arial"/>
                <w:color w:val="000000" w:themeColor="text1"/>
              </w:rPr>
              <w:t>14760.8</w:t>
            </w:r>
          </w:p>
        </w:tc>
      </w:tr>
      <w:tr w:rsidR="006C6401" w:rsidRPr="008E376A" w14:paraId="3E5DAA44" w14:textId="77777777" w:rsidTr="006C6401">
        <w:tc>
          <w:tcPr>
            <w:tcW w:w="908" w:type="dxa"/>
            <w:tcBorders>
              <w:top w:val="single" w:sz="4" w:space="0" w:color="auto"/>
              <w:left w:val="single" w:sz="4" w:space="0" w:color="auto"/>
              <w:bottom w:val="single" w:sz="4" w:space="0" w:color="auto"/>
              <w:right w:val="single" w:sz="4" w:space="0" w:color="auto"/>
            </w:tcBorders>
          </w:tcPr>
          <w:p w14:paraId="3C29FD05" w14:textId="07707944"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31DC8907" w14:textId="47878742" w:rsidR="006C6401" w:rsidRPr="2204ED0F" w:rsidRDefault="006C6401" w:rsidP="2204ED0F">
            <w:pPr>
              <w:spacing w:after="0" w:line="240" w:lineRule="auto"/>
              <w:rPr>
                <w:rFonts w:cs="Arial"/>
                <w:color w:val="000000" w:themeColor="text1"/>
              </w:rPr>
            </w:pPr>
            <w:r>
              <w:rPr>
                <w:rFonts w:cs="Arial"/>
                <w:color w:val="000000" w:themeColor="text1"/>
              </w:rPr>
              <w:t>June</w:t>
            </w:r>
          </w:p>
        </w:tc>
        <w:tc>
          <w:tcPr>
            <w:tcW w:w="939" w:type="dxa"/>
            <w:tcBorders>
              <w:top w:val="single" w:sz="4" w:space="0" w:color="auto"/>
              <w:left w:val="single" w:sz="4" w:space="0" w:color="auto"/>
              <w:bottom w:val="single" w:sz="4" w:space="0" w:color="auto"/>
              <w:right w:val="single" w:sz="4" w:space="0" w:color="auto"/>
            </w:tcBorders>
          </w:tcPr>
          <w:p w14:paraId="74818DB5" w14:textId="78C98D09" w:rsidR="006C6401" w:rsidRPr="2204ED0F" w:rsidRDefault="006C6401" w:rsidP="2204ED0F">
            <w:pPr>
              <w:spacing w:after="0" w:line="240" w:lineRule="auto"/>
              <w:rPr>
                <w:rFonts w:cs="Arial"/>
                <w:color w:val="000000" w:themeColor="text1"/>
              </w:rPr>
            </w:pPr>
            <w:r>
              <w:rPr>
                <w:rFonts w:cs="Arial"/>
                <w:color w:val="000000" w:themeColor="text1"/>
              </w:rPr>
              <w:t>18237</w:t>
            </w:r>
          </w:p>
        </w:tc>
        <w:tc>
          <w:tcPr>
            <w:tcW w:w="1200" w:type="dxa"/>
            <w:tcBorders>
              <w:top w:val="single" w:sz="4" w:space="0" w:color="auto"/>
              <w:left w:val="single" w:sz="4" w:space="0" w:color="auto"/>
              <w:bottom w:val="single" w:sz="4" w:space="0" w:color="auto"/>
              <w:right w:val="single" w:sz="4" w:space="0" w:color="auto"/>
            </w:tcBorders>
          </w:tcPr>
          <w:p w14:paraId="2926537D" w14:textId="45C8834C" w:rsidR="006C6401" w:rsidRPr="2204ED0F" w:rsidRDefault="0076115C" w:rsidP="2204ED0F">
            <w:pPr>
              <w:spacing w:after="0" w:line="240" w:lineRule="auto"/>
              <w:rPr>
                <w:rFonts w:cs="Arial"/>
                <w:color w:val="000000" w:themeColor="text1"/>
              </w:rPr>
            </w:pPr>
            <w:r>
              <w:rPr>
                <w:rFonts w:cs="Arial"/>
                <w:color w:val="000000" w:themeColor="text1"/>
              </w:rPr>
              <w:t>14012.1</w:t>
            </w:r>
          </w:p>
        </w:tc>
      </w:tr>
      <w:tr w:rsidR="006C6401" w:rsidRPr="008E376A" w14:paraId="440382B5" w14:textId="77777777" w:rsidTr="006C6401">
        <w:tc>
          <w:tcPr>
            <w:tcW w:w="908" w:type="dxa"/>
            <w:tcBorders>
              <w:top w:val="single" w:sz="4" w:space="0" w:color="auto"/>
              <w:left w:val="single" w:sz="4" w:space="0" w:color="auto"/>
              <w:bottom w:val="single" w:sz="4" w:space="0" w:color="auto"/>
              <w:right w:val="single" w:sz="4" w:space="0" w:color="auto"/>
            </w:tcBorders>
          </w:tcPr>
          <w:p w14:paraId="2A59D3F6" w14:textId="538D2B48"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5325555D" w14:textId="23F04766" w:rsidR="006C6401" w:rsidRPr="2204ED0F" w:rsidRDefault="006C6401" w:rsidP="2204ED0F">
            <w:pPr>
              <w:spacing w:after="0" w:line="240" w:lineRule="auto"/>
              <w:rPr>
                <w:rFonts w:cs="Arial"/>
                <w:color w:val="000000" w:themeColor="text1"/>
              </w:rPr>
            </w:pPr>
            <w:r>
              <w:rPr>
                <w:rFonts w:cs="Arial"/>
                <w:color w:val="000000" w:themeColor="text1"/>
              </w:rPr>
              <w:t>July</w:t>
            </w:r>
          </w:p>
        </w:tc>
        <w:tc>
          <w:tcPr>
            <w:tcW w:w="939" w:type="dxa"/>
            <w:tcBorders>
              <w:top w:val="single" w:sz="4" w:space="0" w:color="auto"/>
              <w:left w:val="single" w:sz="4" w:space="0" w:color="auto"/>
              <w:bottom w:val="single" w:sz="4" w:space="0" w:color="auto"/>
              <w:right w:val="single" w:sz="4" w:space="0" w:color="auto"/>
            </w:tcBorders>
          </w:tcPr>
          <w:p w14:paraId="5A48B82F" w14:textId="161CC15F" w:rsidR="006C6401" w:rsidRPr="2204ED0F" w:rsidRDefault="006C6401" w:rsidP="2204ED0F">
            <w:pPr>
              <w:spacing w:after="0" w:line="240" w:lineRule="auto"/>
              <w:rPr>
                <w:rFonts w:cs="Arial"/>
                <w:color w:val="000000" w:themeColor="text1"/>
              </w:rPr>
            </w:pPr>
            <w:r>
              <w:rPr>
                <w:rFonts w:cs="Arial"/>
                <w:color w:val="000000" w:themeColor="text1"/>
              </w:rPr>
              <w:t>18424</w:t>
            </w:r>
          </w:p>
        </w:tc>
        <w:tc>
          <w:tcPr>
            <w:tcW w:w="1200" w:type="dxa"/>
            <w:tcBorders>
              <w:top w:val="single" w:sz="4" w:space="0" w:color="auto"/>
              <w:left w:val="single" w:sz="4" w:space="0" w:color="auto"/>
              <w:bottom w:val="single" w:sz="4" w:space="0" w:color="auto"/>
              <w:right w:val="single" w:sz="4" w:space="0" w:color="auto"/>
            </w:tcBorders>
          </w:tcPr>
          <w:p w14:paraId="32CED664" w14:textId="0FCBA858" w:rsidR="006C6401" w:rsidRPr="2204ED0F" w:rsidRDefault="0076115C" w:rsidP="2204ED0F">
            <w:pPr>
              <w:spacing w:after="0" w:line="240" w:lineRule="auto"/>
              <w:rPr>
                <w:rFonts w:cs="Arial"/>
                <w:color w:val="000000" w:themeColor="text1"/>
              </w:rPr>
            </w:pPr>
            <w:r>
              <w:rPr>
                <w:rFonts w:cs="Arial"/>
                <w:color w:val="000000" w:themeColor="text1"/>
              </w:rPr>
              <w:t>15249.3</w:t>
            </w:r>
          </w:p>
        </w:tc>
      </w:tr>
      <w:tr w:rsidR="006C6401" w:rsidRPr="008E376A" w14:paraId="30A2CF9D" w14:textId="77777777" w:rsidTr="006C6401">
        <w:tc>
          <w:tcPr>
            <w:tcW w:w="908" w:type="dxa"/>
            <w:tcBorders>
              <w:top w:val="single" w:sz="4" w:space="0" w:color="auto"/>
              <w:left w:val="single" w:sz="4" w:space="0" w:color="auto"/>
              <w:bottom w:val="single" w:sz="4" w:space="0" w:color="auto"/>
              <w:right w:val="single" w:sz="4" w:space="0" w:color="auto"/>
            </w:tcBorders>
          </w:tcPr>
          <w:p w14:paraId="55BA456D" w14:textId="17DC257F" w:rsidR="006C6401" w:rsidRPr="00680C6F" w:rsidRDefault="006C6401" w:rsidP="00E37E2C">
            <w:pPr>
              <w:pStyle w:val="TableofFigures"/>
              <w:rPr>
                <w:b/>
              </w:rPr>
            </w:pPr>
            <w:r>
              <w:rPr>
                <w:b/>
              </w:rPr>
              <w:lastRenderedPageBreak/>
              <w:t>2019</w:t>
            </w:r>
          </w:p>
        </w:tc>
        <w:tc>
          <w:tcPr>
            <w:tcW w:w="1093" w:type="dxa"/>
            <w:tcBorders>
              <w:top w:val="single" w:sz="4" w:space="0" w:color="auto"/>
              <w:left w:val="single" w:sz="4" w:space="0" w:color="auto"/>
              <w:bottom w:val="single" w:sz="4" w:space="0" w:color="auto"/>
              <w:right w:val="single" w:sz="4" w:space="0" w:color="auto"/>
            </w:tcBorders>
          </w:tcPr>
          <w:p w14:paraId="6606411C" w14:textId="438AD5D0" w:rsidR="006C6401" w:rsidRPr="2204ED0F" w:rsidRDefault="006C6401" w:rsidP="2204ED0F">
            <w:pPr>
              <w:spacing w:after="0" w:line="240" w:lineRule="auto"/>
              <w:rPr>
                <w:rFonts w:cs="Arial"/>
                <w:color w:val="000000" w:themeColor="text1"/>
              </w:rPr>
            </w:pPr>
            <w:r>
              <w:rPr>
                <w:rFonts w:cs="Arial"/>
                <w:color w:val="000000" w:themeColor="text1"/>
              </w:rPr>
              <w:t>August</w:t>
            </w:r>
          </w:p>
        </w:tc>
        <w:tc>
          <w:tcPr>
            <w:tcW w:w="939" w:type="dxa"/>
            <w:tcBorders>
              <w:top w:val="single" w:sz="4" w:space="0" w:color="auto"/>
              <w:left w:val="single" w:sz="4" w:space="0" w:color="auto"/>
              <w:bottom w:val="single" w:sz="4" w:space="0" w:color="auto"/>
              <w:right w:val="single" w:sz="4" w:space="0" w:color="auto"/>
            </w:tcBorders>
          </w:tcPr>
          <w:p w14:paraId="18FCB933" w14:textId="196D5706" w:rsidR="006C6401" w:rsidRPr="2204ED0F" w:rsidRDefault="006C6401" w:rsidP="2204ED0F">
            <w:pPr>
              <w:spacing w:after="0" w:line="240" w:lineRule="auto"/>
              <w:rPr>
                <w:rFonts w:cs="Arial"/>
                <w:color w:val="000000" w:themeColor="text1"/>
              </w:rPr>
            </w:pPr>
            <w:r>
              <w:rPr>
                <w:rFonts w:cs="Arial"/>
                <w:color w:val="000000" w:themeColor="text1"/>
              </w:rPr>
              <w:t>18335</w:t>
            </w:r>
          </w:p>
        </w:tc>
        <w:tc>
          <w:tcPr>
            <w:tcW w:w="1200" w:type="dxa"/>
            <w:tcBorders>
              <w:top w:val="single" w:sz="4" w:space="0" w:color="auto"/>
              <w:left w:val="single" w:sz="4" w:space="0" w:color="auto"/>
              <w:bottom w:val="single" w:sz="4" w:space="0" w:color="auto"/>
              <w:right w:val="single" w:sz="4" w:space="0" w:color="auto"/>
            </w:tcBorders>
          </w:tcPr>
          <w:p w14:paraId="32598DD4" w14:textId="0F5CD9DF" w:rsidR="006C6401" w:rsidRPr="2204ED0F" w:rsidRDefault="0076115C" w:rsidP="2204ED0F">
            <w:pPr>
              <w:spacing w:after="0" w:line="240" w:lineRule="auto"/>
              <w:rPr>
                <w:rFonts w:cs="Arial"/>
                <w:color w:val="000000" w:themeColor="text1"/>
              </w:rPr>
            </w:pPr>
            <w:r>
              <w:rPr>
                <w:rFonts w:cs="Arial"/>
                <w:color w:val="000000" w:themeColor="text1"/>
              </w:rPr>
              <w:t>15626.7</w:t>
            </w:r>
          </w:p>
        </w:tc>
      </w:tr>
      <w:tr w:rsidR="006C6401" w:rsidRPr="008E376A" w14:paraId="1ED248EF" w14:textId="77777777" w:rsidTr="006C6401">
        <w:tc>
          <w:tcPr>
            <w:tcW w:w="908" w:type="dxa"/>
            <w:tcBorders>
              <w:top w:val="single" w:sz="4" w:space="0" w:color="auto"/>
              <w:left w:val="single" w:sz="4" w:space="0" w:color="auto"/>
              <w:bottom w:val="single" w:sz="4" w:space="0" w:color="auto"/>
              <w:right w:val="single" w:sz="4" w:space="0" w:color="auto"/>
            </w:tcBorders>
          </w:tcPr>
          <w:p w14:paraId="71038C74" w14:textId="124145F3"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303036DA" w14:textId="40680F04" w:rsidR="006C6401" w:rsidRPr="2204ED0F" w:rsidRDefault="006C6401" w:rsidP="2204ED0F">
            <w:pPr>
              <w:spacing w:after="0" w:line="240" w:lineRule="auto"/>
              <w:rPr>
                <w:rFonts w:cs="Arial"/>
                <w:color w:val="000000" w:themeColor="text1"/>
              </w:rPr>
            </w:pPr>
            <w:r>
              <w:rPr>
                <w:rFonts w:cs="Arial"/>
                <w:color w:val="000000" w:themeColor="text1"/>
              </w:rPr>
              <w:t>September</w:t>
            </w:r>
          </w:p>
        </w:tc>
        <w:tc>
          <w:tcPr>
            <w:tcW w:w="939" w:type="dxa"/>
            <w:tcBorders>
              <w:top w:val="single" w:sz="4" w:space="0" w:color="auto"/>
              <w:left w:val="single" w:sz="4" w:space="0" w:color="auto"/>
              <w:bottom w:val="single" w:sz="4" w:space="0" w:color="auto"/>
              <w:right w:val="single" w:sz="4" w:space="0" w:color="auto"/>
            </w:tcBorders>
          </w:tcPr>
          <w:p w14:paraId="44B514A6" w14:textId="44090469" w:rsidR="006C6401" w:rsidRPr="2204ED0F" w:rsidRDefault="006C6401" w:rsidP="2204ED0F">
            <w:pPr>
              <w:spacing w:after="0" w:line="240" w:lineRule="auto"/>
              <w:rPr>
                <w:rFonts w:cs="Arial"/>
                <w:color w:val="000000" w:themeColor="text1"/>
              </w:rPr>
            </w:pPr>
            <w:r>
              <w:rPr>
                <w:rFonts w:cs="Arial"/>
                <w:color w:val="000000" w:themeColor="text1"/>
              </w:rPr>
              <w:t>18488</w:t>
            </w:r>
          </w:p>
        </w:tc>
        <w:tc>
          <w:tcPr>
            <w:tcW w:w="1200" w:type="dxa"/>
            <w:tcBorders>
              <w:top w:val="single" w:sz="4" w:space="0" w:color="auto"/>
              <w:left w:val="single" w:sz="4" w:space="0" w:color="auto"/>
              <w:bottom w:val="single" w:sz="4" w:space="0" w:color="auto"/>
              <w:right w:val="single" w:sz="4" w:space="0" w:color="auto"/>
            </w:tcBorders>
          </w:tcPr>
          <w:p w14:paraId="71E5FAC5" w14:textId="53801147" w:rsidR="006C6401" w:rsidRPr="2204ED0F" w:rsidRDefault="0076115C" w:rsidP="2204ED0F">
            <w:pPr>
              <w:spacing w:after="0" w:line="240" w:lineRule="auto"/>
              <w:rPr>
                <w:rFonts w:cs="Arial"/>
                <w:color w:val="000000" w:themeColor="text1"/>
              </w:rPr>
            </w:pPr>
            <w:r>
              <w:rPr>
                <w:rFonts w:cs="Arial"/>
                <w:color w:val="000000" w:themeColor="text1"/>
              </w:rPr>
              <w:t>14677.9</w:t>
            </w:r>
          </w:p>
        </w:tc>
      </w:tr>
      <w:tr w:rsidR="006C6401" w:rsidRPr="008E376A" w14:paraId="12FAFA48" w14:textId="77777777" w:rsidTr="006C6401">
        <w:tc>
          <w:tcPr>
            <w:tcW w:w="908" w:type="dxa"/>
            <w:tcBorders>
              <w:top w:val="single" w:sz="4" w:space="0" w:color="auto"/>
              <w:left w:val="single" w:sz="4" w:space="0" w:color="auto"/>
              <w:bottom w:val="single" w:sz="4" w:space="0" w:color="auto"/>
              <w:right w:val="single" w:sz="4" w:space="0" w:color="auto"/>
            </w:tcBorders>
          </w:tcPr>
          <w:p w14:paraId="0444CBEC" w14:textId="21CCE5BC"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5E4FE111" w14:textId="4575A580" w:rsidR="006C6401" w:rsidRPr="2204ED0F" w:rsidRDefault="006C6401" w:rsidP="2204ED0F">
            <w:pPr>
              <w:spacing w:after="0" w:line="240" w:lineRule="auto"/>
              <w:rPr>
                <w:rFonts w:cs="Arial"/>
                <w:color w:val="000000" w:themeColor="text1"/>
              </w:rPr>
            </w:pPr>
            <w:r>
              <w:rPr>
                <w:rFonts w:cs="Arial"/>
                <w:color w:val="000000" w:themeColor="text1"/>
              </w:rPr>
              <w:t>October</w:t>
            </w:r>
          </w:p>
        </w:tc>
        <w:tc>
          <w:tcPr>
            <w:tcW w:w="939" w:type="dxa"/>
            <w:tcBorders>
              <w:top w:val="single" w:sz="4" w:space="0" w:color="auto"/>
              <w:left w:val="single" w:sz="4" w:space="0" w:color="auto"/>
              <w:bottom w:val="single" w:sz="4" w:space="0" w:color="auto"/>
              <w:right w:val="single" w:sz="4" w:space="0" w:color="auto"/>
            </w:tcBorders>
          </w:tcPr>
          <w:p w14:paraId="397A3C31" w14:textId="031D8C2A" w:rsidR="006C6401" w:rsidRPr="2204ED0F" w:rsidRDefault="006C6401" w:rsidP="2204ED0F">
            <w:pPr>
              <w:spacing w:after="0" w:line="240" w:lineRule="auto"/>
              <w:rPr>
                <w:rFonts w:cs="Arial"/>
                <w:color w:val="000000" w:themeColor="text1"/>
              </w:rPr>
            </w:pPr>
            <w:r>
              <w:rPr>
                <w:rFonts w:cs="Arial"/>
                <w:color w:val="000000" w:themeColor="text1"/>
              </w:rPr>
              <w:t>18489</w:t>
            </w:r>
          </w:p>
        </w:tc>
        <w:tc>
          <w:tcPr>
            <w:tcW w:w="1200" w:type="dxa"/>
            <w:tcBorders>
              <w:top w:val="single" w:sz="4" w:space="0" w:color="auto"/>
              <w:left w:val="single" w:sz="4" w:space="0" w:color="auto"/>
              <w:bottom w:val="single" w:sz="4" w:space="0" w:color="auto"/>
              <w:right w:val="single" w:sz="4" w:space="0" w:color="auto"/>
            </w:tcBorders>
          </w:tcPr>
          <w:p w14:paraId="2163F6AC" w14:textId="336511C5" w:rsidR="006C6401" w:rsidRPr="2204ED0F" w:rsidRDefault="0076115C" w:rsidP="2204ED0F">
            <w:pPr>
              <w:spacing w:after="0" w:line="240" w:lineRule="auto"/>
              <w:rPr>
                <w:rFonts w:cs="Arial"/>
                <w:color w:val="000000" w:themeColor="text1"/>
              </w:rPr>
            </w:pPr>
            <w:r>
              <w:rPr>
                <w:rFonts w:cs="Arial"/>
                <w:color w:val="000000" w:themeColor="text1"/>
              </w:rPr>
              <w:t>16277.6</w:t>
            </w:r>
          </w:p>
        </w:tc>
      </w:tr>
      <w:tr w:rsidR="006C6401" w:rsidRPr="008E376A" w14:paraId="6C563EE5" w14:textId="77777777" w:rsidTr="006C6401">
        <w:tc>
          <w:tcPr>
            <w:tcW w:w="908" w:type="dxa"/>
            <w:tcBorders>
              <w:top w:val="single" w:sz="4" w:space="0" w:color="auto"/>
              <w:left w:val="single" w:sz="4" w:space="0" w:color="auto"/>
              <w:bottom w:val="single" w:sz="4" w:space="0" w:color="auto"/>
              <w:right w:val="single" w:sz="4" w:space="0" w:color="auto"/>
            </w:tcBorders>
          </w:tcPr>
          <w:p w14:paraId="41604ECF" w14:textId="417BE744"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26BC2CF3" w14:textId="037A2150" w:rsidR="006C6401" w:rsidRPr="2204ED0F" w:rsidRDefault="006C6401" w:rsidP="2204ED0F">
            <w:pPr>
              <w:spacing w:after="0" w:line="240" w:lineRule="auto"/>
              <w:rPr>
                <w:rFonts w:cs="Arial"/>
                <w:color w:val="000000" w:themeColor="text1"/>
              </w:rPr>
            </w:pPr>
            <w:r>
              <w:rPr>
                <w:rFonts w:cs="Arial"/>
                <w:color w:val="000000" w:themeColor="text1"/>
              </w:rPr>
              <w:t>November</w:t>
            </w:r>
          </w:p>
        </w:tc>
        <w:tc>
          <w:tcPr>
            <w:tcW w:w="939" w:type="dxa"/>
            <w:tcBorders>
              <w:top w:val="single" w:sz="4" w:space="0" w:color="auto"/>
              <w:left w:val="single" w:sz="4" w:space="0" w:color="auto"/>
              <w:bottom w:val="single" w:sz="4" w:space="0" w:color="auto"/>
              <w:right w:val="single" w:sz="4" w:space="0" w:color="auto"/>
            </w:tcBorders>
          </w:tcPr>
          <w:p w14:paraId="1C152046" w14:textId="4B883E50" w:rsidR="006C6401" w:rsidRPr="2204ED0F" w:rsidRDefault="006C6401" w:rsidP="2204ED0F">
            <w:pPr>
              <w:spacing w:after="0" w:line="240" w:lineRule="auto"/>
              <w:rPr>
                <w:rFonts w:cs="Arial"/>
                <w:color w:val="000000" w:themeColor="text1"/>
              </w:rPr>
            </w:pPr>
            <w:r>
              <w:rPr>
                <w:rFonts w:cs="Arial"/>
                <w:color w:val="000000" w:themeColor="text1"/>
              </w:rPr>
              <w:t>18497</w:t>
            </w:r>
          </w:p>
        </w:tc>
        <w:tc>
          <w:tcPr>
            <w:tcW w:w="1200" w:type="dxa"/>
            <w:tcBorders>
              <w:top w:val="single" w:sz="4" w:space="0" w:color="auto"/>
              <w:left w:val="single" w:sz="4" w:space="0" w:color="auto"/>
              <w:bottom w:val="single" w:sz="4" w:space="0" w:color="auto"/>
              <w:right w:val="single" w:sz="4" w:space="0" w:color="auto"/>
            </w:tcBorders>
          </w:tcPr>
          <w:p w14:paraId="7183E788" w14:textId="04831EE6" w:rsidR="006C6401" w:rsidRPr="2204ED0F" w:rsidRDefault="0076115C" w:rsidP="2204ED0F">
            <w:pPr>
              <w:spacing w:after="0" w:line="240" w:lineRule="auto"/>
              <w:rPr>
                <w:rFonts w:cs="Arial"/>
                <w:color w:val="000000" w:themeColor="text1"/>
              </w:rPr>
            </w:pPr>
            <w:r>
              <w:rPr>
                <w:rFonts w:cs="Arial"/>
                <w:color w:val="000000" w:themeColor="text1"/>
              </w:rPr>
              <w:t>16606.1</w:t>
            </w:r>
          </w:p>
        </w:tc>
      </w:tr>
      <w:tr w:rsidR="006C6401" w:rsidRPr="008E376A" w14:paraId="7F62F60B" w14:textId="77777777" w:rsidTr="006C6401">
        <w:tc>
          <w:tcPr>
            <w:tcW w:w="908" w:type="dxa"/>
            <w:tcBorders>
              <w:top w:val="single" w:sz="4" w:space="0" w:color="auto"/>
              <w:left w:val="single" w:sz="4" w:space="0" w:color="auto"/>
              <w:bottom w:val="single" w:sz="4" w:space="0" w:color="auto"/>
              <w:right w:val="single" w:sz="4" w:space="0" w:color="auto"/>
            </w:tcBorders>
          </w:tcPr>
          <w:p w14:paraId="79C3AD90" w14:textId="7FF02359" w:rsidR="006C6401" w:rsidRPr="00680C6F" w:rsidRDefault="006C6401" w:rsidP="00E37E2C">
            <w:pPr>
              <w:pStyle w:val="TableofFigures"/>
              <w:rPr>
                <w:b/>
              </w:rPr>
            </w:pPr>
            <w:r>
              <w:rPr>
                <w:b/>
              </w:rPr>
              <w:t>2019</w:t>
            </w:r>
          </w:p>
        </w:tc>
        <w:tc>
          <w:tcPr>
            <w:tcW w:w="1093" w:type="dxa"/>
            <w:tcBorders>
              <w:top w:val="single" w:sz="4" w:space="0" w:color="auto"/>
              <w:left w:val="single" w:sz="4" w:space="0" w:color="auto"/>
              <w:bottom w:val="single" w:sz="4" w:space="0" w:color="auto"/>
              <w:right w:val="single" w:sz="4" w:space="0" w:color="auto"/>
            </w:tcBorders>
          </w:tcPr>
          <w:p w14:paraId="62E6724F" w14:textId="2D4150A6" w:rsidR="006C6401" w:rsidRPr="2204ED0F" w:rsidRDefault="006C6401" w:rsidP="2204ED0F">
            <w:pPr>
              <w:spacing w:after="0" w:line="240" w:lineRule="auto"/>
              <w:rPr>
                <w:rFonts w:cs="Arial"/>
                <w:color w:val="000000" w:themeColor="text1"/>
              </w:rPr>
            </w:pPr>
            <w:r>
              <w:rPr>
                <w:rFonts w:cs="Arial"/>
                <w:color w:val="000000" w:themeColor="text1"/>
              </w:rPr>
              <w:t>December</w:t>
            </w:r>
          </w:p>
        </w:tc>
        <w:tc>
          <w:tcPr>
            <w:tcW w:w="939" w:type="dxa"/>
            <w:tcBorders>
              <w:top w:val="single" w:sz="4" w:space="0" w:color="auto"/>
              <w:left w:val="single" w:sz="4" w:space="0" w:color="auto"/>
              <w:bottom w:val="single" w:sz="4" w:space="0" w:color="auto"/>
              <w:right w:val="single" w:sz="4" w:space="0" w:color="auto"/>
            </w:tcBorders>
          </w:tcPr>
          <w:p w14:paraId="3DBC2A6C" w14:textId="26695E53" w:rsidR="006C6401" w:rsidRPr="2204ED0F" w:rsidRDefault="006C6401" w:rsidP="2204ED0F">
            <w:pPr>
              <w:spacing w:after="0" w:line="240" w:lineRule="auto"/>
              <w:rPr>
                <w:rFonts w:cs="Arial"/>
                <w:color w:val="000000" w:themeColor="text1"/>
              </w:rPr>
            </w:pPr>
            <w:r>
              <w:rPr>
                <w:rFonts w:cs="Arial"/>
                <w:color w:val="000000" w:themeColor="text1"/>
              </w:rPr>
              <w:t>18802</w:t>
            </w:r>
          </w:p>
        </w:tc>
        <w:tc>
          <w:tcPr>
            <w:tcW w:w="1200" w:type="dxa"/>
            <w:tcBorders>
              <w:top w:val="single" w:sz="4" w:space="0" w:color="auto"/>
              <w:left w:val="single" w:sz="4" w:space="0" w:color="auto"/>
              <w:bottom w:val="single" w:sz="4" w:space="0" w:color="auto"/>
              <w:right w:val="single" w:sz="4" w:space="0" w:color="auto"/>
            </w:tcBorders>
          </w:tcPr>
          <w:p w14:paraId="76B45662" w14:textId="1ED833EA" w:rsidR="006C6401" w:rsidRPr="2204ED0F" w:rsidRDefault="0076115C" w:rsidP="2204ED0F">
            <w:pPr>
              <w:spacing w:after="0" w:line="240" w:lineRule="auto"/>
              <w:rPr>
                <w:rFonts w:cs="Arial"/>
                <w:color w:val="000000" w:themeColor="text1"/>
              </w:rPr>
            </w:pPr>
            <w:r>
              <w:rPr>
                <w:rFonts w:cs="Arial"/>
                <w:color w:val="000000" w:themeColor="text1"/>
              </w:rPr>
              <w:t>15713.3</w:t>
            </w:r>
          </w:p>
        </w:tc>
      </w:tr>
      <w:tr w:rsidR="006C6401" w:rsidRPr="008E376A" w14:paraId="08774C00" w14:textId="77777777" w:rsidTr="006C6401">
        <w:tc>
          <w:tcPr>
            <w:tcW w:w="908" w:type="dxa"/>
            <w:tcBorders>
              <w:top w:val="single" w:sz="4" w:space="0" w:color="auto"/>
              <w:left w:val="single" w:sz="4" w:space="0" w:color="auto"/>
              <w:bottom w:val="single" w:sz="4" w:space="0" w:color="auto"/>
              <w:right w:val="single" w:sz="4" w:space="0" w:color="auto"/>
            </w:tcBorders>
          </w:tcPr>
          <w:p w14:paraId="1285FB5C" w14:textId="68229EA8"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3908B989" w14:textId="12CB51DC" w:rsidR="006C6401" w:rsidRPr="2204ED0F" w:rsidRDefault="006C6401" w:rsidP="006C6401">
            <w:pPr>
              <w:spacing w:after="0" w:line="240" w:lineRule="auto"/>
              <w:rPr>
                <w:rFonts w:cs="Arial"/>
                <w:color w:val="000000" w:themeColor="text1"/>
              </w:rPr>
            </w:pPr>
            <w:r>
              <w:rPr>
                <w:rFonts w:cs="Arial"/>
                <w:color w:val="000000" w:themeColor="text1"/>
              </w:rPr>
              <w:t>January</w:t>
            </w:r>
          </w:p>
        </w:tc>
        <w:tc>
          <w:tcPr>
            <w:tcW w:w="939" w:type="dxa"/>
            <w:tcBorders>
              <w:top w:val="single" w:sz="4" w:space="0" w:color="auto"/>
              <w:left w:val="single" w:sz="4" w:space="0" w:color="auto"/>
              <w:bottom w:val="single" w:sz="4" w:space="0" w:color="auto"/>
              <w:right w:val="single" w:sz="4" w:space="0" w:color="auto"/>
            </w:tcBorders>
          </w:tcPr>
          <w:p w14:paraId="1EC290B1" w14:textId="44E09537" w:rsidR="006C6401" w:rsidRPr="2204ED0F" w:rsidRDefault="006C6401" w:rsidP="006C6401">
            <w:pPr>
              <w:spacing w:after="0" w:line="240" w:lineRule="auto"/>
              <w:rPr>
                <w:rFonts w:cs="Arial"/>
                <w:color w:val="000000" w:themeColor="text1"/>
              </w:rPr>
            </w:pPr>
            <w:r>
              <w:rPr>
                <w:rFonts w:cs="Arial"/>
                <w:color w:val="000000" w:themeColor="text1"/>
              </w:rPr>
              <w:t>22588</w:t>
            </w:r>
          </w:p>
        </w:tc>
        <w:tc>
          <w:tcPr>
            <w:tcW w:w="1200" w:type="dxa"/>
            <w:tcBorders>
              <w:top w:val="single" w:sz="4" w:space="0" w:color="auto"/>
              <w:left w:val="single" w:sz="4" w:space="0" w:color="auto"/>
              <w:bottom w:val="single" w:sz="4" w:space="0" w:color="auto"/>
              <w:right w:val="single" w:sz="4" w:space="0" w:color="auto"/>
            </w:tcBorders>
          </w:tcPr>
          <w:p w14:paraId="29359A90" w14:textId="03BBD18E" w:rsidR="006C6401" w:rsidRPr="2204ED0F" w:rsidRDefault="0076115C" w:rsidP="006C6401">
            <w:pPr>
              <w:spacing w:after="0" w:line="240" w:lineRule="auto"/>
              <w:rPr>
                <w:rFonts w:cs="Arial"/>
                <w:color w:val="000000" w:themeColor="text1"/>
              </w:rPr>
            </w:pPr>
            <w:r>
              <w:rPr>
                <w:rFonts w:cs="Arial"/>
                <w:color w:val="000000" w:themeColor="text1"/>
              </w:rPr>
              <w:t>8377.2</w:t>
            </w:r>
          </w:p>
        </w:tc>
      </w:tr>
      <w:tr w:rsidR="006C6401" w:rsidRPr="008E376A" w14:paraId="0C8A4F48" w14:textId="77777777" w:rsidTr="006C6401">
        <w:tc>
          <w:tcPr>
            <w:tcW w:w="908" w:type="dxa"/>
            <w:tcBorders>
              <w:top w:val="single" w:sz="4" w:space="0" w:color="auto"/>
              <w:left w:val="single" w:sz="4" w:space="0" w:color="auto"/>
              <w:bottom w:val="single" w:sz="4" w:space="0" w:color="auto"/>
              <w:right w:val="single" w:sz="4" w:space="0" w:color="auto"/>
            </w:tcBorders>
          </w:tcPr>
          <w:p w14:paraId="63AB4CA0" w14:textId="2556D742"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3DA791E8" w14:textId="1D10200B" w:rsidR="006C6401" w:rsidRPr="2204ED0F" w:rsidRDefault="006C6401" w:rsidP="006C6401">
            <w:pPr>
              <w:spacing w:after="0" w:line="240" w:lineRule="auto"/>
              <w:rPr>
                <w:rFonts w:cs="Arial"/>
                <w:color w:val="000000" w:themeColor="text1"/>
              </w:rPr>
            </w:pPr>
            <w:r>
              <w:rPr>
                <w:rFonts w:cs="Arial"/>
                <w:color w:val="000000" w:themeColor="text1"/>
              </w:rPr>
              <w:t>February</w:t>
            </w:r>
          </w:p>
        </w:tc>
        <w:tc>
          <w:tcPr>
            <w:tcW w:w="939" w:type="dxa"/>
            <w:tcBorders>
              <w:top w:val="single" w:sz="4" w:space="0" w:color="auto"/>
              <w:left w:val="single" w:sz="4" w:space="0" w:color="auto"/>
              <w:bottom w:val="single" w:sz="4" w:space="0" w:color="auto"/>
              <w:right w:val="single" w:sz="4" w:space="0" w:color="auto"/>
            </w:tcBorders>
          </w:tcPr>
          <w:p w14:paraId="60954DD1" w14:textId="6DB768D2" w:rsidR="006C6401" w:rsidRPr="2204ED0F" w:rsidRDefault="006C6401" w:rsidP="006C6401">
            <w:pPr>
              <w:spacing w:after="0" w:line="240" w:lineRule="auto"/>
              <w:rPr>
                <w:rFonts w:cs="Arial"/>
                <w:color w:val="000000" w:themeColor="text1"/>
              </w:rPr>
            </w:pPr>
            <w:r>
              <w:rPr>
                <w:rFonts w:cs="Arial"/>
                <w:color w:val="000000" w:themeColor="text1"/>
              </w:rPr>
              <w:t>23257</w:t>
            </w:r>
          </w:p>
        </w:tc>
        <w:tc>
          <w:tcPr>
            <w:tcW w:w="1200" w:type="dxa"/>
            <w:tcBorders>
              <w:top w:val="single" w:sz="4" w:space="0" w:color="auto"/>
              <w:left w:val="single" w:sz="4" w:space="0" w:color="auto"/>
              <w:bottom w:val="single" w:sz="4" w:space="0" w:color="auto"/>
              <w:right w:val="single" w:sz="4" w:space="0" w:color="auto"/>
            </w:tcBorders>
          </w:tcPr>
          <w:p w14:paraId="5AD73147" w14:textId="295C9838" w:rsidR="006C6401" w:rsidRPr="2204ED0F" w:rsidRDefault="0076115C" w:rsidP="006C6401">
            <w:pPr>
              <w:spacing w:after="0" w:line="240" w:lineRule="auto"/>
              <w:rPr>
                <w:rFonts w:cs="Arial"/>
                <w:color w:val="000000" w:themeColor="text1"/>
              </w:rPr>
            </w:pPr>
            <w:r>
              <w:rPr>
                <w:rFonts w:cs="Arial"/>
                <w:color w:val="000000" w:themeColor="text1"/>
              </w:rPr>
              <w:t>7692.0</w:t>
            </w:r>
          </w:p>
        </w:tc>
      </w:tr>
      <w:tr w:rsidR="006C6401" w:rsidRPr="008E376A" w14:paraId="6D12392E" w14:textId="77777777" w:rsidTr="006C6401">
        <w:tc>
          <w:tcPr>
            <w:tcW w:w="908" w:type="dxa"/>
            <w:tcBorders>
              <w:top w:val="single" w:sz="4" w:space="0" w:color="auto"/>
              <w:left w:val="single" w:sz="4" w:space="0" w:color="auto"/>
              <w:bottom w:val="single" w:sz="4" w:space="0" w:color="auto"/>
              <w:right w:val="single" w:sz="4" w:space="0" w:color="auto"/>
            </w:tcBorders>
          </w:tcPr>
          <w:p w14:paraId="31103282" w14:textId="498D2272"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556E654A" w14:textId="0EAA058A" w:rsidR="006C6401" w:rsidRPr="2204ED0F" w:rsidRDefault="006C6401" w:rsidP="006C6401">
            <w:pPr>
              <w:spacing w:after="0" w:line="240" w:lineRule="auto"/>
              <w:rPr>
                <w:rFonts w:cs="Arial"/>
                <w:color w:val="000000" w:themeColor="text1"/>
              </w:rPr>
            </w:pPr>
            <w:r>
              <w:rPr>
                <w:rFonts w:cs="Arial"/>
                <w:color w:val="000000" w:themeColor="text1"/>
              </w:rPr>
              <w:t>March</w:t>
            </w:r>
          </w:p>
        </w:tc>
        <w:tc>
          <w:tcPr>
            <w:tcW w:w="939" w:type="dxa"/>
            <w:tcBorders>
              <w:top w:val="single" w:sz="4" w:space="0" w:color="auto"/>
              <w:left w:val="single" w:sz="4" w:space="0" w:color="auto"/>
              <w:bottom w:val="single" w:sz="4" w:space="0" w:color="auto"/>
              <w:right w:val="single" w:sz="4" w:space="0" w:color="auto"/>
            </w:tcBorders>
          </w:tcPr>
          <w:p w14:paraId="0730AD57" w14:textId="057FD655" w:rsidR="006C6401" w:rsidRPr="2204ED0F" w:rsidRDefault="006C6401" w:rsidP="006C6401">
            <w:pPr>
              <w:spacing w:after="0" w:line="240" w:lineRule="auto"/>
              <w:rPr>
                <w:rFonts w:cs="Arial"/>
                <w:color w:val="000000" w:themeColor="text1"/>
              </w:rPr>
            </w:pPr>
            <w:r>
              <w:rPr>
                <w:rFonts w:cs="Arial"/>
                <w:color w:val="000000" w:themeColor="text1"/>
              </w:rPr>
              <w:t>23897</w:t>
            </w:r>
          </w:p>
        </w:tc>
        <w:tc>
          <w:tcPr>
            <w:tcW w:w="1200" w:type="dxa"/>
            <w:tcBorders>
              <w:top w:val="single" w:sz="4" w:space="0" w:color="auto"/>
              <w:left w:val="single" w:sz="4" w:space="0" w:color="auto"/>
              <w:bottom w:val="single" w:sz="4" w:space="0" w:color="auto"/>
              <w:right w:val="single" w:sz="4" w:space="0" w:color="auto"/>
            </w:tcBorders>
          </w:tcPr>
          <w:p w14:paraId="717693D5" w14:textId="2EABB754" w:rsidR="006C6401" w:rsidRPr="2204ED0F" w:rsidRDefault="0076115C" w:rsidP="006C6401">
            <w:pPr>
              <w:spacing w:after="0" w:line="240" w:lineRule="auto"/>
              <w:rPr>
                <w:rFonts w:cs="Arial"/>
                <w:color w:val="000000" w:themeColor="text1"/>
              </w:rPr>
            </w:pPr>
            <w:r>
              <w:rPr>
                <w:rFonts w:cs="Arial"/>
                <w:color w:val="000000" w:themeColor="text1"/>
              </w:rPr>
              <w:t>9787.2</w:t>
            </w:r>
          </w:p>
        </w:tc>
      </w:tr>
      <w:tr w:rsidR="006C6401" w:rsidRPr="008E376A" w14:paraId="5468D5B3" w14:textId="77777777" w:rsidTr="006C6401">
        <w:tc>
          <w:tcPr>
            <w:tcW w:w="908" w:type="dxa"/>
            <w:tcBorders>
              <w:top w:val="single" w:sz="4" w:space="0" w:color="auto"/>
              <w:left w:val="single" w:sz="4" w:space="0" w:color="auto"/>
              <w:bottom w:val="single" w:sz="4" w:space="0" w:color="auto"/>
              <w:right w:val="single" w:sz="4" w:space="0" w:color="auto"/>
            </w:tcBorders>
          </w:tcPr>
          <w:p w14:paraId="6F287BA4" w14:textId="6C6876C5"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7F1C2C00" w14:textId="2BA333CF" w:rsidR="006C6401" w:rsidRPr="2204ED0F" w:rsidRDefault="006C6401" w:rsidP="006C6401">
            <w:pPr>
              <w:spacing w:after="0" w:line="240" w:lineRule="auto"/>
              <w:rPr>
                <w:rFonts w:cs="Arial"/>
                <w:color w:val="000000" w:themeColor="text1"/>
              </w:rPr>
            </w:pPr>
            <w:r>
              <w:rPr>
                <w:rFonts w:cs="Arial"/>
                <w:color w:val="000000" w:themeColor="text1"/>
              </w:rPr>
              <w:t>April</w:t>
            </w:r>
          </w:p>
        </w:tc>
        <w:tc>
          <w:tcPr>
            <w:tcW w:w="939" w:type="dxa"/>
            <w:tcBorders>
              <w:top w:val="single" w:sz="4" w:space="0" w:color="auto"/>
              <w:left w:val="single" w:sz="4" w:space="0" w:color="auto"/>
              <w:bottom w:val="single" w:sz="4" w:space="0" w:color="auto"/>
              <w:right w:val="single" w:sz="4" w:space="0" w:color="auto"/>
            </w:tcBorders>
          </w:tcPr>
          <w:p w14:paraId="76D0EBB7" w14:textId="4574B283" w:rsidR="006C6401" w:rsidRPr="2204ED0F" w:rsidRDefault="006C6401" w:rsidP="006C6401">
            <w:pPr>
              <w:spacing w:after="0" w:line="240" w:lineRule="auto"/>
              <w:rPr>
                <w:rFonts w:cs="Arial"/>
                <w:color w:val="000000" w:themeColor="text1"/>
              </w:rPr>
            </w:pPr>
            <w:r>
              <w:rPr>
                <w:rFonts w:cs="Arial"/>
                <w:color w:val="000000" w:themeColor="text1"/>
              </w:rPr>
              <w:t>24018</w:t>
            </w:r>
          </w:p>
        </w:tc>
        <w:tc>
          <w:tcPr>
            <w:tcW w:w="1200" w:type="dxa"/>
            <w:tcBorders>
              <w:top w:val="single" w:sz="4" w:space="0" w:color="auto"/>
              <w:left w:val="single" w:sz="4" w:space="0" w:color="auto"/>
              <w:bottom w:val="single" w:sz="4" w:space="0" w:color="auto"/>
              <w:right w:val="single" w:sz="4" w:space="0" w:color="auto"/>
            </w:tcBorders>
          </w:tcPr>
          <w:p w14:paraId="47EFC517" w14:textId="437F5378" w:rsidR="006C6401" w:rsidRPr="2204ED0F" w:rsidRDefault="0076115C" w:rsidP="006C6401">
            <w:pPr>
              <w:spacing w:after="0" w:line="240" w:lineRule="auto"/>
              <w:rPr>
                <w:rFonts w:cs="Arial"/>
                <w:color w:val="000000" w:themeColor="text1"/>
              </w:rPr>
            </w:pPr>
            <w:r>
              <w:rPr>
                <w:rFonts w:cs="Arial"/>
                <w:color w:val="000000" w:themeColor="text1"/>
              </w:rPr>
              <w:t>13067.7</w:t>
            </w:r>
          </w:p>
        </w:tc>
      </w:tr>
      <w:tr w:rsidR="006C6401" w:rsidRPr="008E376A" w14:paraId="46EB51A6" w14:textId="77777777" w:rsidTr="006C6401">
        <w:tc>
          <w:tcPr>
            <w:tcW w:w="908" w:type="dxa"/>
            <w:tcBorders>
              <w:top w:val="single" w:sz="4" w:space="0" w:color="auto"/>
              <w:left w:val="single" w:sz="4" w:space="0" w:color="auto"/>
              <w:bottom w:val="single" w:sz="4" w:space="0" w:color="auto"/>
              <w:right w:val="single" w:sz="4" w:space="0" w:color="auto"/>
            </w:tcBorders>
          </w:tcPr>
          <w:p w14:paraId="54DB25C4" w14:textId="4D9A7881"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7644C610" w14:textId="2F075A47" w:rsidR="006C6401" w:rsidRPr="2204ED0F" w:rsidRDefault="006C6401" w:rsidP="006C6401">
            <w:pPr>
              <w:spacing w:after="0" w:line="240" w:lineRule="auto"/>
              <w:rPr>
                <w:rFonts w:cs="Arial"/>
                <w:color w:val="000000" w:themeColor="text1"/>
              </w:rPr>
            </w:pPr>
            <w:r>
              <w:rPr>
                <w:rFonts w:cs="Arial"/>
                <w:color w:val="000000" w:themeColor="text1"/>
              </w:rPr>
              <w:t>May</w:t>
            </w:r>
          </w:p>
        </w:tc>
        <w:tc>
          <w:tcPr>
            <w:tcW w:w="939" w:type="dxa"/>
            <w:tcBorders>
              <w:top w:val="single" w:sz="4" w:space="0" w:color="auto"/>
              <w:left w:val="single" w:sz="4" w:space="0" w:color="auto"/>
              <w:bottom w:val="single" w:sz="4" w:space="0" w:color="auto"/>
              <w:right w:val="single" w:sz="4" w:space="0" w:color="auto"/>
            </w:tcBorders>
          </w:tcPr>
          <w:p w14:paraId="476F494D" w14:textId="7F45BE3B" w:rsidR="006C6401" w:rsidRPr="2204ED0F" w:rsidRDefault="006C6401" w:rsidP="006C6401">
            <w:pPr>
              <w:spacing w:after="0" w:line="240" w:lineRule="auto"/>
              <w:rPr>
                <w:rFonts w:cs="Arial"/>
                <w:color w:val="000000" w:themeColor="text1"/>
              </w:rPr>
            </w:pPr>
            <w:r>
              <w:rPr>
                <w:rFonts w:cs="Arial"/>
                <w:color w:val="000000" w:themeColor="text1"/>
              </w:rPr>
              <w:t>23894</w:t>
            </w:r>
          </w:p>
        </w:tc>
        <w:tc>
          <w:tcPr>
            <w:tcW w:w="1200" w:type="dxa"/>
            <w:tcBorders>
              <w:top w:val="single" w:sz="4" w:space="0" w:color="auto"/>
              <w:left w:val="single" w:sz="4" w:space="0" w:color="auto"/>
              <w:bottom w:val="single" w:sz="4" w:space="0" w:color="auto"/>
              <w:right w:val="single" w:sz="4" w:space="0" w:color="auto"/>
            </w:tcBorders>
          </w:tcPr>
          <w:p w14:paraId="135BE19F" w14:textId="42CC82A4" w:rsidR="006C6401" w:rsidRPr="2204ED0F" w:rsidRDefault="0076115C" w:rsidP="006C6401">
            <w:pPr>
              <w:spacing w:after="0" w:line="240" w:lineRule="auto"/>
              <w:rPr>
                <w:rFonts w:cs="Arial"/>
                <w:color w:val="000000" w:themeColor="text1"/>
              </w:rPr>
            </w:pPr>
            <w:r>
              <w:rPr>
                <w:rFonts w:cs="Arial"/>
                <w:color w:val="000000" w:themeColor="text1"/>
              </w:rPr>
              <w:t>11382.7</w:t>
            </w:r>
          </w:p>
        </w:tc>
      </w:tr>
      <w:tr w:rsidR="006C6401" w:rsidRPr="008E376A" w14:paraId="494095AD" w14:textId="77777777" w:rsidTr="006C6401">
        <w:tc>
          <w:tcPr>
            <w:tcW w:w="908" w:type="dxa"/>
            <w:tcBorders>
              <w:top w:val="single" w:sz="4" w:space="0" w:color="auto"/>
              <w:left w:val="single" w:sz="4" w:space="0" w:color="auto"/>
              <w:bottom w:val="single" w:sz="4" w:space="0" w:color="auto"/>
              <w:right w:val="single" w:sz="4" w:space="0" w:color="auto"/>
            </w:tcBorders>
          </w:tcPr>
          <w:p w14:paraId="4CA832AF" w14:textId="199E7F8D"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6BAD3432" w14:textId="481F139C" w:rsidR="006C6401" w:rsidRPr="2204ED0F" w:rsidRDefault="006C6401" w:rsidP="006C6401">
            <w:pPr>
              <w:spacing w:after="0" w:line="240" w:lineRule="auto"/>
              <w:rPr>
                <w:rFonts w:cs="Arial"/>
                <w:color w:val="000000" w:themeColor="text1"/>
              </w:rPr>
            </w:pPr>
            <w:r>
              <w:rPr>
                <w:rFonts w:cs="Arial"/>
                <w:color w:val="000000" w:themeColor="text1"/>
              </w:rPr>
              <w:t>June</w:t>
            </w:r>
          </w:p>
        </w:tc>
        <w:tc>
          <w:tcPr>
            <w:tcW w:w="939" w:type="dxa"/>
            <w:tcBorders>
              <w:top w:val="single" w:sz="4" w:space="0" w:color="auto"/>
              <w:left w:val="single" w:sz="4" w:space="0" w:color="auto"/>
              <w:bottom w:val="single" w:sz="4" w:space="0" w:color="auto"/>
              <w:right w:val="single" w:sz="4" w:space="0" w:color="auto"/>
            </w:tcBorders>
          </w:tcPr>
          <w:p w14:paraId="6EB84D16" w14:textId="1991DCF5" w:rsidR="006C6401" w:rsidRPr="2204ED0F" w:rsidRDefault="006C6401" w:rsidP="006C6401">
            <w:pPr>
              <w:spacing w:after="0" w:line="240" w:lineRule="auto"/>
              <w:rPr>
                <w:rFonts w:cs="Arial"/>
                <w:color w:val="000000" w:themeColor="text1"/>
              </w:rPr>
            </w:pPr>
            <w:r>
              <w:rPr>
                <w:rFonts w:cs="Arial"/>
                <w:color w:val="000000" w:themeColor="text1"/>
              </w:rPr>
              <w:t>23554</w:t>
            </w:r>
          </w:p>
        </w:tc>
        <w:tc>
          <w:tcPr>
            <w:tcW w:w="1200" w:type="dxa"/>
            <w:tcBorders>
              <w:top w:val="single" w:sz="4" w:space="0" w:color="auto"/>
              <w:left w:val="single" w:sz="4" w:space="0" w:color="auto"/>
              <w:bottom w:val="single" w:sz="4" w:space="0" w:color="auto"/>
              <w:right w:val="single" w:sz="4" w:space="0" w:color="auto"/>
            </w:tcBorders>
          </w:tcPr>
          <w:p w14:paraId="2F7226A0" w14:textId="14211988" w:rsidR="006C6401" w:rsidRPr="2204ED0F" w:rsidRDefault="0076115C" w:rsidP="006C6401">
            <w:pPr>
              <w:spacing w:after="0" w:line="240" w:lineRule="auto"/>
              <w:rPr>
                <w:rFonts w:cs="Arial"/>
                <w:color w:val="000000" w:themeColor="text1"/>
              </w:rPr>
            </w:pPr>
            <w:r>
              <w:rPr>
                <w:rFonts w:cs="Arial"/>
                <w:color w:val="000000" w:themeColor="text1"/>
              </w:rPr>
              <w:t>5904.5</w:t>
            </w:r>
          </w:p>
        </w:tc>
      </w:tr>
      <w:tr w:rsidR="006C6401" w:rsidRPr="008E376A" w14:paraId="10826E05" w14:textId="77777777" w:rsidTr="006C6401">
        <w:tc>
          <w:tcPr>
            <w:tcW w:w="908" w:type="dxa"/>
            <w:tcBorders>
              <w:top w:val="single" w:sz="4" w:space="0" w:color="auto"/>
              <w:left w:val="single" w:sz="4" w:space="0" w:color="auto"/>
              <w:bottom w:val="single" w:sz="4" w:space="0" w:color="auto"/>
              <w:right w:val="single" w:sz="4" w:space="0" w:color="auto"/>
            </w:tcBorders>
          </w:tcPr>
          <w:p w14:paraId="4DBAE79C" w14:textId="1024E0FE"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16543CBE" w14:textId="6B401BE4" w:rsidR="006C6401" w:rsidRPr="2204ED0F" w:rsidRDefault="006C6401" w:rsidP="006C6401">
            <w:pPr>
              <w:spacing w:after="0" w:line="240" w:lineRule="auto"/>
              <w:rPr>
                <w:rFonts w:cs="Arial"/>
                <w:color w:val="000000" w:themeColor="text1"/>
              </w:rPr>
            </w:pPr>
            <w:r>
              <w:rPr>
                <w:rFonts w:cs="Arial"/>
                <w:color w:val="000000" w:themeColor="text1"/>
              </w:rPr>
              <w:t>July</w:t>
            </w:r>
          </w:p>
        </w:tc>
        <w:tc>
          <w:tcPr>
            <w:tcW w:w="939" w:type="dxa"/>
            <w:tcBorders>
              <w:top w:val="single" w:sz="4" w:space="0" w:color="auto"/>
              <w:left w:val="single" w:sz="4" w:space="0" w:color="auto"/>
              <w:bottom w:val="single" w:sz="4" w:space="0" w:color="auto"/>
              <w:right w:val="single" w:sz="4" w:space="0" w:color="auto"/>
            </w:tcBorders>
          </w:tcPr>
          <w:p w14:paraId="38AAFC2C" w14:textId="6D1BC8EC" w:rsidR="006C6401" w:rsidRPr="2204ED0F" w:rsidRDefault="006C6401" w:rsidP="006C6401">
            <w:pPr>
              <w:spacing w:after="0" w:line="240" w:lineRule="auto"/>
              <w:rPr>
                <w:rFonts w:cs="Arial"/>
                <w:color w:val="000000" w:themeColor="text1"/>
              </w:rPr>
            </w:pPr>
            <w:r>
              <w:rPr>
                <w:rFonts w:cs="Arial"/>
                <w:color w:val="000000" w:themeColor="text1"/>
              </w:rPr>
              <w:t>24438</w:t>
            </w:r>
          </w:p>
        </w:tc>
        <w:tc>
          <w:tcPr>
            <w:tcW w:w="1200" w:type="dxa"/>
            <w:tcBorders>
              <w:top w:val="single" w:sz="4" w:space="0" w:color="auto"/>
              <w:left w:val="single" w:sz="4" w:space="0" w:color="auto"/>
              <w:bottom w:val="single" w:sz="4" w:space="0" w:color="auto"/>
              <w:right w:val="single" w:sz="4" w:space="0" w:color="auto"/>
            </w:tcBorders>
          </w:tcPr>
          <w:p w14:paraId="1298F1D7" w14:textId="5FAB3004" w:rsidR="006C6401" w:rsidRPr="2204ED0F" w:rsidRDefault="0076115C" w:rsidP="006C6401">
            <w:pPr>
              <w:spacing w:after="0" w:line="240" w:lineRule="auto"/>
              <w:rPr>
                <w:rFonts w:cs="Arial"/>
                <w:color w:val="000000" w:themeColor="text1"/>
              </w:rPr>
            </w:pPr>
            <w:r>
              <w:rPr>
                <w:rFonts w:cs="Arial"/>
                <w:color w:val="000000" w:themeColor="text1"/>
              </w:rPr>
              <w:t>7079.6</w:t>
            </w:r>
          </w:p>
        </w:tc>
      </w:tr>
      <w:tr w:rsidR="006C6401" w:rsidRPr="008E376A" w14:paraId="60A62923" w14:textId="77777777" w:rsidTr="006C6401">
        <w:tc>
          <w:tcPr>
            <w:tcW w:w="908" w:type="dxa"/>
            <w:tcBorders>
              <w:top w:val="single" w:sz="4" w:space="0" w:color="auto"/>
              <w:left w:val="single" w:sz="4" w:space="0" w:color="auto"/>
              <w:bottom w:val="single" w:sz="4" w:space="0" w:color="auto"/>
              <w:right w:val="single" w:sz="4" w:space="0" w:color="auto"/>
            </w:tcBorders>
          </w:tcPr>
          <w:p w14:paraId="76C37008" w14:textId="5FC25D22"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42ADE847" w14:textId="157AD9F7" w:rsidR="006C6401" w:rsidRPr="2204ED0F" w:rsidRDefault="006C6401" w:rsidP="006C6401">
            <w:pPr>
              <w:spacing w:after="0" w:line="240" w:lineRule="auto"/>
              <w:rPr>
                <w:rFonts w:cs="Arial"/>
                <w:color w:val="000000" w:themeColor="text1"/>
              </w:rPr>
            </w:pPr>
            <w:r>
              <w:rPr>
                <w:rFonts w:cs="Arial"/>
                <w:color w:val="000000" w:themeColor="text1"/>
              </w:rPr>
              <w:t>August</w:t>
            </w:r>
          </w:p>
        </w:tc>
        <w:tc>
          <w:tcPr>
            <w:tcW w:w="939" w:type="dxa"/>
            <w:tcBorders>
              <w:top w:val="single" w:sz="4" w:space="0" w:color="auto"/>
              <w:left w:val="single" w:sz="4" w:space="0" w:color="auto"/>
              <w:bottom w:val="single" w:sz="4" w:space="0" w:color="auto"/>
              <w:right w:val="single" w:sz="4" w:space="0" w:color="auto"/>
            </w:tcBorders>
          </w:tcPr>
          <w:p w14:paraId="24B4D1EC" w14:textId="6EB0876C" w:rsidR="006C6401" w:rsidRPr="2204ED0F" w:rsidRDefault="006C6401" w:rsidP="006C6401">
            <w:pPr>
              <w:spacing w:after="0" w:line="240" w:lineRule="auto"/>
              <w:rPr>
                <w:rFonts w:cs="Arial"/>
                <w:color w:val="000000" w:themeColor="text1"/>
              </w:rPr>
            </w:pPr>
            <w:r>
              <w:rPr>
                <w:rFonts w:cs="Arial"/>
                <w:color w:val="000000" w:themeColor="text1"/>
              </w:rPr>
              <w:t>24535</w:t>
            </w:r>
          </w:p>
        </w:tc>
        <w:tc>
          <w:tcPr>
            <w:tcW w:w="1200" w:type="dxa"/>
            <w:tcBorders>
              <w:top w:val="single" w:sz="4" w:space="0" w:color="auto"/>
              <w:left w:val="single" w:sz="4" w:space="0" w:color="auto"/>
              <w:bottom w:val="single" w:sz="4" w:space="0" w:color="auto"/>
              <w:right w:val="single" w:sz="4" w:space="0" w:color="auto"/>
            </w:tcBorders>
          </w:tcPr>
          <w:p w14:paraId="47E61450" w14:textId="25C7B6D0" w:rsidR="006C6401" w:rsidRPr="2204ED0F" w:rsidRDefault="0076115C" w:rsidP="006C6401">
            <w:pPr>
              <w:spacing w:after="0" w:line="240" w:lineRule="auto"/>
              <w:rPr>
                <w:rFonts w:cs="Arial"/>
                <w:color w:val="000000" w:themeColor="text1"/>
              </w:rPr>
            </w:pPr>
            <w:r>
              <w:rPr>
                <w:rFonts w:cs="Arial"/>
                <w:color w:val="000000" w:themeColor="text1"/>
              </w:rPr>
              <w:t>4645.0</w:t>
            </w:r>
          </w:p>
        </w:tc>
      </w:tr>
      <w:tr w:rsidR="006C6401" w:rsidRPr="008E376A" w14:paraId="7ECC2928" w14:textId="77777777" w:rsidTr="006C6401">
        <w:tc>
          <w:tcPr>
            <w:tcW w:w="908" w:type="dxa"/>
            <w:tcBorders>
              <w:top w:val="single" w:sz="4" w:space="0" w:color="auto"/>
              <w:left w:val="single" w:sz="4" w:space="0" w:color="auto"/>
              <w:bottom w:val="single" w:sz="4" w:space="0" w:color="auto"/>
              <w:right w:val="single" w:sz="4" w:space="0" w:color="auto"/>
            </w:tcBorders>
          </w:tcPr>
          <w:p w14:paraId="61850904" w14:textId="1AB49822"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47B7CE79" w14:textId="25088E02" w:rsidR="006C6401" w:rsidRPr="2204ED0F" w:rsidRDefault="006C6401" w:rsidP="006C6401">
            <w:pPr>
              <w:spacing w:after="0" w:line="240" w:lineRule="auto"/>
              <w:rPr>
                <w:rFonts w:cs="Arial"/>
                <w:color w:val="000000" w:themeColor="text1"/>
              </w:rPr>
            </w:pPr>
            <w:r>
              <w:rPr>
                <w:rFonts w:cs="Arial"/>
                <w:color w:val="000000" w:themeColor="text1"/>
              </w:rPr>
              <w:t>September</w:t>
            </w:r>
          </w:p>
        </w:tc>
        <w:tc>
          <w:tcPr>
            <w:tcW w:w="939" w:type="dxa"/>
            <w:tcBorders>
              <w:top w:val="single" w:sz="4" w:space="0" w:color="auto"/>
              <w:left w:val="single" w:sz="4" w:space="0" w:color="auto"/>
              <w:bottom w:val="single" w:sz="4" w:space="0" w:color="auto"/>
              <w:right w:val="single" w:sz="4" w:space="0" w:color="auto"/>
            </w:tcBorders>
          </w:tcPr>
          <w:p w14:paraId="7178C0A3" w14:textId="09E3EBF0" w:rsidR="006C6401" w:rsidRPr="2204ED0F" w:rsidRDefault="006C6401" w:rsidP="006C6401">
            <w:pPr>
              <w:spacing w:after="0" w:line="240" w:lineRule="auto"/>
              <w:rPr>
                <w:rFonts w:cs="Arial"/>
                <w:color w:val="000000" w:themeColor="text1"/>
              </w:rPr>
            </w:pPr>
            <w:r>
              <w:rPr>
                <w:rFonts w:cs="Arial"/>
                <w:color w:val="000000" w:themeColor="text1"/>
              </w:rPr>
              <w:t>21513</w:t>
            </w:r>
          </w:p>
        </w:tc>
        <w:tc>
          <w:tcPr>
            <w:tcW w:w="1200" w:type="dxa"/>
            <w:tcBorders>
              <w:top w:val="single" w:sz="4" w:space="0" w:color="auto"/>
              <w:left w:val="single" w:sz="4" w:space="0" w:color="auto"/>
              <w:bottom w:val="single" w:sz="4" w:space="0" w:color="auto"/>
              <w:right w:val="single" w:sz="4" w:space="0" w:color="auto"/>
            </w:tcBorders>
          </w:tcPr>
          <w:p w14:paraId="40830E66" w14:textId="793FDDF7" w:rsidR="006C6401" w:rsidRPr="2204ED0F" w:rsidRDefault="0076115C" w:rsidP="006C6401">
            <w:pPr>
              <w:spacing w:after="0" w:line="240" w:lineRule="auto"/>
              <w:rPr>
                <w:rFonts w:cs="Arial"/>
                <w:color w:val="000000" w:themeColor="text1"/>
              </w:rPr>
            </w:pPr>
            <w:r>
              <w:rPr>
                <w:rFonts w:cs="Arial"/>
                <w:color w:val="000000" w:themeColor="text1"/>
              </w:rPr>
              <w:t>5116.7</w:t>
            </w:r>
          </w:p>
        </w:tc>
      </w:tr>
      <w:tr w:rsidR="006C6401" w:rsidRPr="008E376A" w14:paraId="153E548D" w14:textId="77777777" w:rsidTr="006C6401">
        <w:tc>
          <w:tcPr>
            <w:tcW w:w="908" w:type="dxa"/>
            <w:tcBorders>
              <w:top w:val="single" w:sz="4" w:space="0" w:color="auto"/>
              <w:left w:val="single" w:sz="4" w:space="0" w:color="auto"/>
              <w:bottom w:val="single" w:sz="4" w:space="0" w:color="auto"/>
              <w:right w:val="single" w:sz="4" w:space="0" w:color="auto"/>
            </w:tcBorders>
          </w:tcPr>
          <w:p w14:paraId="7953D605" w14:textId="2649A61B"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20466CA3" w14:textId="543C9BD2" w:rsidR="006C6401" w:rsidRPr="2204ED0F" w:rsidRDefault="006C6401" w:rsidP="006C6401">
            <w:pPr>
              <w:spacing w:after="0" w:line="240" w:lineRule="auto"/>
              <w:rPr>
                <w:rFonts w:cs="Arial"/>
                <w:color w:val="000000" w:themeColor="text1"/>
              </w:rPr>
            </w:pPr>
            <w:r>
              <w:rPr>
                <w:rFonts w:cs="Arial"/>
                <w:color w:val="000000" w:themeColor="text1"/>
              </w:rPr>
              <w:t>October</w:t>
            </w:r>
          </w:p>
        </w:tc>
        <w:tc>
          <w:tcPr>
            <w:tcW w:w="939" w:type="dxa"/>
            <w:tcBorders>
              <w:top w:val="single" w:sz="4" w:space="0" w:color="auto"/>
              <w:left w:val="single" w:sz="4" w:space="0" w:color="auto"/>
              <w:bottom w:val="single" w:sz="4" w:space="0" w:color="auto"/>
              <w:right w:val="single" w:sz="4" w:space="0" w:color="auto"/>
            </w:tcBorders>
          </w:tcPr>
          <w:p w14:paraId="48C27591" w14:textId="28BBB30E" w:rsidR="006C6401" w:rsidRPr="2204ED0F" w:rsidRDefault="006C6401" w:rsidP="006C6401">
            <w:pPr>
              <w:spacing w:after="0" w:line="240" w:lineRule="auto"/>
              <w:rPr>
                <w:rFonts w:cs="Arial"/>
                <w:color w:val="000000" w:themeColor="text1"/>
              </w:rPr>
            </w:pPr>
            <w:r>
              <w:rPr>
                <w:rFonts w:cs="Arial"/>
                <w:color w:val="000000" w:themeColor="text1"/>
              </w:rPr>
              <w:t>23314</w:t>
            </w:r>
          </w:p>
        </w:tc>
        <w:tc>
          <w:tcPr>
            <w:tcW w:w="1200" w:type="dxa"/>
            <w:tcBorders>
              <w:top w:val="single" w:sz="4" w:space="0" w:color="auto"/>
              <w:left w:val="single" w:sz="4" w:space="0" w:color="auto"/>
              <w:bottom w:val="single" w:sz="4" w:space="0" w:color="auto"/>
              <w:right w:val="single" w:sz="4" w:space="0" w:color="auto"/>
            </w:tcBorders>
          </w:tcPr>
          <w:p w14:paraId="67251909" w14:textId="5170D5C1" w:rsidR="006C6401" w:rsidRPr="2204ED0F" w:rsidRDefault="0076115C" w:rsidP="006C6401">
            <w:pPr>
              <w:spacing w:after="0" w:line="240" w:lineRule="auto"/>
              <w:rPr>
                <w:rFonts w:cs="Arial"/>
                <w:color w:val="000000" w:themeColor="text1"/>
              </w:rPr>
            </w:pPr>
            <w:r>
              <w:rPr>
                <w:rFonts w:cs="Arial"/>
                <w:color w:val="000000" w:themeColor="text1"/>
              </w:rPr>
              <w:t>4912.0</w:t>
            </w:r>
          </w:p>
        </w:tc>
      </w:tr>
      <w:tr w:rsidR="006C6401" w:rsidRPr="008E376A" w14:paraId="5650A965" w14:textId="77777777" w:rsidTr="006C6401">
        <w:tc>
          <w:tcPr>
            <w:tcW w:w="908" w:type="dxa"/>
            <w:tcBorders>
              <w:top w:val="single" w:sz="4" w:space="0" w:color="auto"/>
              <w:left w:val="single" w:sz="4" w:space="0" w:color="auto"/>
              <w:bottom w:val="single" w:sz="4" w:space="0" w:color="auto"/>
              <w:right w:val="single" w:sz="4" w:space="0" w:color="auto"/>
            </w:tcBorders>
          </w:tcPr>
          <w:p w14:paraId="133E5661" w14:textId="2FC8D579"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598480B5" w14:textId="3432B0DD" w:rsidR="006C6401" w:rsidRPr="2204ED0F" w:rsidRDefault="006C6401" w:rsidP="006C6401">
            <w:pPr>
              <w:spacing w:after="0" w:line="240" w:lineRule="auto"/>
              <w:rPr>
                <w:rFonts w:cs="Arial"/>
                <w:color w:val="000000" w:themeColor="text1"/>
              </w:rPr>
            </w:pPr>
            <w:r>
              <w:rPr>
                <w:rFonts w:cs="Arial"/>
                <w:color w:val="000000" w:themeColor="text1"/>
              </w:rPr>
              <w:t>November</w:t>
            </w:r>
          </w:p>
        </w:tc>
        <w:tc>
          <w:tcPr>
            <w:tcW w:w="939" w:type="dxa"/>
            <w:tcBorders>
              <w:top w:val="single" w:sz="4" w:space="0" w:color="auto"/>
              <w:left w:val="single" w:sz="4" w:space="0" w:color="auto"/>
              <w:bottom w:val="single" w:sz="4" w:space="0" w:color="auto"/>
              <w:right w:val="single" w:sz="4" w:space="0" w:color="auto"/>
            </w:tcBorders>
          </w:tcPr>
          <w:p w14:paraId="4B4A85CE" w14:textId="7908CC82" w:rsidR="006C6401" w:rsidRPr="2204ED0F" w:rsidRDefault="006C6401" w:rsidP="006C6401">
            <w:pPr>
              <w:spacing w:after="0" w:line="240" w:lineRule="auto"/>
              <w:rPr>
                <w:rFonts w:cs="Arial"/>
                <w:color w:val="000000" w:themeColor="text1"/>
              </w:rPr>
            </w:pPr>
            <w:r>
              <w:rPr>
                <w:rFonts w:cs="Arial"/>
                <w:color w:val="000000" w:themeColor="text1"/>
              </w:rPr>
              <w:t>24774</w:t>
            </w:r>
          </w:p>
        </w:tc>
        <w:tc>
          <w:tcPr>
            <w:tcW w:w="1200" w:type="dxa"/>
            <w:tcBorders>
              <w:top w:val="single" w:sz="4" w:space="0" w:color="auto"/>
              <w:left w:val="single" w:sz="4" w:space="0" w:color="auto"/>
              <w:bottom w:val="single" w:sz="4" w:space="0" w:color="auto"/>
              <w:right w:val="single" w:sz="4" w:space="0" w:color="auto"/>
            </w:tcBorders>
          </w:tcPr>
          <w:p w14:paraId="04FC18D0" w14:textId="3D0FB086" w:rsidR="0076115C" w:rsidRPr="2204ED0F" w:rsidRDefault="0076115C" w:rsidP="006C6401">
            <w:pPr>
              <w:spacing w:after="0" w:line="240" w:lineRule="auto"/>
              <w:rPr>
                <w:rFonts w:cs="Arial"/>
                <w:color w:val="000000" w:themeColor="text1"/>
              </w:rPr>
            </w:pPr>
            <w:r>
              <w:rPr>
                <w:rFonts w:cs="Arial"/>
                <w:color w:val="000000" w:themeColor="text1"/>
              </w:rPr>
              <w:t>7672.0</w:t>
            </w:r>
          </w:p>
        </w:tc>
      </w:tr>
      <w:tr w:rsidR="006C6401" w:rsidRPr="008E376A" w14:paraId="499C2CFE" w14:textId="77777777" w:rsidTr="006C6401">
        <w:tc>
          <w:tcPr>
            <w:tcW w:w="908" w:type="dxa"/>
            <w:tcBorders>
              <w:top w:val="single" w:sz="4" w:space="0" w:color="auto"/>
              <w:left w:val="single" w:sz="4" w:space="0" w:color="auto"/>
              <w:bottom w:val="single" w:sz="4" w:space="0" w:color="auto"/>
              <w:right w:val="single" w:sz="4" w:space="0" w:color="auto"/>
            </w:tcBorders>
          </w:tcPr>
          <w:p w14:paraId="27E03EFC" w14:textId="24257BCF" w:rsidR="006C6401" w:rsidRPr="00680C6F" w:rsidRDefault="006C6401" w:rsidP="006C6401">
            <w:pPr>
              <w:pStyle w:val="TableofFigures"/>
              <w:rPr>
                <w:b/>
              </w:rPr>
            </w:pPr>
            <w:r>
              <w:rPr>
                <w:b/>
              </w:rPr>
              <w:t>2021</w:t>
            </w:r>
          </w:p>
        </w:tc>
        <w:tc>
          <w:tcPr>
            <w:tcW w:w="1093" w:type="dxa"/>
            <w:tcBorders>
              <w:top w:val="single" w:sz="4" w:space="0" w:color="auto"/>
              <w:left w:val="single" w:sz="4" w:space="0" w:color="auto"/>
              <w:bottom w:val="single" w:sz="4" w:space="0" w:color="auto"/>
              <w:right w:val="single" w:sz="4" w:space="0" w:color="auto"/>
            </w:tcBorders>
          </w:tcPr>
          <w:p w14:paraId="60DD14C6" w14:textId="0776FAA6" w:rsidR="006C6401" w:rsidRDefault="006C6401" w:rsidP="006C6401">
            <w:pPr>
              <w:spacing w:after="0" w:line="240" w:lineRule="auto"/>
              <w:rPr>
                <w:rFonts w:cs="Arial"/>
                <w:color w:val="000000" w:themeColor="text1"/>
              </w:rPr>
            </w:pPr>
            <w:r>
              <w:rPr>
                <w:rFonts w:cs="Arial"/>
                <w:color w:val="000000" w:themeColor="text1"/>
              </w:rPr>
              <w:t>December</w:t>
            </w:r>
          </w:p>
        </w:tc>
        <w:tc>
          <w:tcPr>
            <w:tcW w:w="939" w:type="dxa"/>
            <w:tcBorders>
              <w:top w:val="single" w:sz="4" w:space="0" w:color="auto"/>
              <w:left w:val="single" w:sz="4" w:space="0" w:color="auto"/>
              <w:bottom w:val="single" w:sz="4" w:space="0" w:color="auto"/>
              <w:right w:val="single" w:sz="4" w:space="0" w:color="auto"/>
            </w:tcBorders>
          </w:tcPr>
          <w:p w14:paraId="1C72D7DC" w14:textId="28A57F40" w:rsidR="006C6401" w:rsidRPr="2204ED0F" w:rsidRDefault="006C6401" w:rsidP="006C6401">
            <w:pPr>
              <w:spacing w:after="0" w:line="240" w:lineRule="auto"/>
              <w:rPr>
                <w:rFonts w:cs="Arial"/>
                <w:color w:val="000000" w:themeColor="text1"/>
              </w:rPr>
            </w:pPr>
            <w:r>
              <w:rPr>
                <w:rFonts w:cs="Arial"/>
                <w:color w:val="000000" w:themeColor="text1"/>
              </w:rPr>
              <w:t>25747</w:t>
            </w:r>
          </w:p>
        </w:tc>
        <w:tc>
          <w:tcPr>
            <w:tcW w:w="1200" w:type="dxa"/>
            <w:tcBorders>
              <w:top w:val="single" w:sz="4" w:space="0" w:color="auto"/>
              <w:left w:val="single" w:sz="4" w:space="0" w:color="auto"/>
              <w:bottom w:val="single" w:sz="4" w:space="0" w:color="auto"/>
              <w:right w:val="single" w:sz="4" w:space="0" w:color="auto"/>
            </w:tcBorders>
          </w:tcPr>
          <w:p w14:paraId="7CCFC3EC" w14:textId="4F4B0757" w:rsidR="006C6401" w:rsidRPr="2204ED0F" w:rsidRDefault="0076115C" w:rsidP="006C6401">
            <w:pPr>
              <w:spacing w:after="0" w:line="240" w:lineRule="auto"/>
              <w:rPr>
                <w:rFonts w:cs="Arial"/>
                <w:color w:val="000000" w:themeColor="text1"/>
              </w:rPr>
            </w:pPr>
            <w:r>
              <w:rPr>
                <w:rFonts w:cs="Arial"/>
                <w:color w:val="000000" w:themeColor="text1"/>
              </w:rPr>
              <w:t>11306.6</w:t>
            </w:r>
          </w:p>
        </w:tc>
      </w:tr>
      <w:tr w:rsidR="006C6401" w:rsidRPr="008E376A" w14:paraId="436431FE" w14:textId="77777777" w:rsidTr="006C6401">
        <w:tc>
          <w:tcPr>
            <w:tcW w:w="908" w:type="dxa"/>
            <w:tcBorders>
              <w:top w:val="single" w:sz="4" w:space="0" w:color="auto"/>
              <w:left w:val="single" w:sz="4" w:space="0" w:color="auto"/>
              <w:bottom w:val="single" w:sz="4" w:space="0" w:color="auto"/>
              <w:right w:val="single" w:sz="4" w:space="0" w:color="auto"/>
            </w:tcBorders>
          </w:tcPr>
          <w:p w14:paraId="47DC5042" w14:textId="381AC7FD"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69FFCB57" w14:textId="1FEF7A39" w:rsidR="006C6401" w:rsidRDefault="006C6401" w:rsidP="006C6401">
            <w:pPr>
              <w:spacing w:after="0" w:line="240" w:lineRule="auto"/>
              <w:rPr>
                <w:rFonts w:cs="Arial"/>
                <w:color w:val="000000" w:themeColor="text1"/>
              </w:rPr>
            </w:pPr>
            <w:r>
              <w:rPr>
                <w:rFonts w:cs="Arial"/>
                <w:color w:val="000000" w:themeColor="text1"/>
              </w:rPr>
              <w:t>January</w:t>
            </w:r>
          </w:p>
        </w:tc>
        <w:tc>
          <w:tcPr>
            <w:tcW w:w="939" w:type="dxa"/>
            <w:tcBorders>
              <w:top w:val="single" w:sz="4" w:space="0" w:color="auto"/>
              <w:left w:val="single" w:sz="4" w:space="0" w:color="auto"/>
              <w:bottom w:val="single" w:sz="4" w:space="0" w:color="auto"/>
              <w:right w:val="single" w:sz="4" w:space="0" w:color="auto"/>
            </w:tcBorders>
          </w:tcPr>
          <w:p w14:paraId="1528C0DE" w14:textId="57F0981E" w:rsidR="006C6401" w:rsidRPr="2204ED0F" w:rsidRDefault="006C6401" w:rsidP="006C6401">
            <w:pPr>
              <w:spacing w:after="0" w:line="240" w:lineRule="auto"/>
              <w:rPr>
                <w:rFonts w:cs="Arial"/>
                <w:color w:val="000000" w:themeColor="text1"/>
              </w:rPr>
            </w:pPr>
            <w:r>
              <w:rPr>
                <w:rFonts w:cs="Arial"/>
                <w:color w:val="000000" w:themeColor="text1"/>
              </w:rPr>
              <w:t>25325</w:t>
            </w:r>
          </w:p>
        </w:tc>
        <w:tc>
          <w:tcPr>
            <w:tcW w:w="1200" w:type="dxa"/>
            <w:tcBorders>
              <w:top w:val="single" w:sz="4" w:space="0" w:color="auto"/>
              <w:left w:val="single" w:sz="4" w:space="0" w:color="auto"/>
              <w:bottom w:val="single" w:sz="4" w:space="0" w:color="auto"/>
              <w:right w:val="single" w:sz="4" w:space="0" w:color="auto"/>
            </w:tcBorders>
          </w:tcPr>
          <w:p w14:paraId="577BCC94" w14:textId="051F8198" w:rsidR="006C6401" w:rsidRPr="2204ED0F" w:rsidRDefault="0076115C" w:rsidP="006C6401">
            <w:pPr>
              <w:spacing w:after="0" w:line="240" w:lineRule="auto"/>
              <w:rPr>
                <w:rFonts w:cs="Arial"/>
                <w:color w:val="000000" w:themeColor="text1"/>
              </w:rPr>
            </w:pPr>
            <w:r>
              <w:rPr>
                <w:rFonts w:cs="Arial"/>
                <w:color w:val="000000" w:themeColor="text1"/>
              </w:rPr>
              <w:t>10459.5</w:t>
            </w:r>
          </w:p>
        </w:tc>
      </w:tr>
      <w:tr w:rsidR="006C6401" w:rsidRPr="008E376A" w14:paraId="148C3760" w14:textId="77777777" w:rsidTr="006C6401">
        <w:tc>
          <w:tcPr>
            <w:tcW w:w="908" w:type="dxa"/>
            <w:tcBorders>
              <w:top w:val="single" w:sz="4" w:space="0" w:color="auto"/>
              <w:left w:val="single" w:sz="4" w:space="0" w:color="auto"/>
              <w:bottom w:val="single" w:sz="4" w:space="0" w:color="auto"/>
              <w:right w:val="single" w:sz="4" w:space="0" w:color="auto"/>
            </w:tcBorders>
          </w:tcPr>
          <w:p w14:paraId="75DEAA26" w14:textId="2173C9F6"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7A325B94" w14:textId="413097C0" w:rsidR="006C6401" w:rsidRDefault="006C6401" w:rsidP="006C6401">
            <w:pPr>
              <w:spacing w:after="0" w:line="240" w:lineRule="auto"/>
              <w:rPr>
                <w:rFonts w:cs="Arial"/>
                <w:color w:val="000000" w:themeColor="text1"/>
              </w:rPr>
            </w:pPr>
            <w:r>
              <w:rPr>
                <w:rFonts w:cs="Arial"/>
                <w:color w:val="000000" w:themeColor="text1"/>
              </w:rPr>
              <w:t>February</w:t>
            </w:r>
          </w:p>
        </w:tc>
        <w:tc>
          <w:tcPr>
            <w:tcW w:w="939" w:type="dxa"/>
            <w:tcBorders>
              <w:top w:val="single" w:sz="4" w:space="0" w:color="auto"/>
              <w:left w:val="single" w:sz="4" w:space="0" w:color="auto"/>
              <w:bottom w:val="single" w:sz="4" w:space="0" w:color="auto"/>
              <w:right w:val="single" w:sz="4" w:space="0" w:color="auto"/>
            </w:tcBorders>
          </w:tcPr>
          <w:p w14:paraId="78F02CA1" w14:textId="55065474" w:rsidR="006C6401" w:rsidRPr="2204ED0F" w:rsidRDefault="006C6401" w:rsidP="006C6401">
            <w:pPr>
              <w:spacing w:after="0" w:line="240" w:lineRule="auto"/>
              <w:rPr>
                <w:rFonts w:cs="Arial"/>
                <w:color w:val="000000" w:themeColor="text1"/>
              </w:rPr>
            </w:pPr>
            <w:r>
              <w:rPr>
                <w:rFonts w:cs="Arial"/>
                <w:color w:val="000000" w:themeColor="text1"/>
              </w:rPr>
              <w:t>25654</w:t>
            </w:r>
          </w:p>
        </w:tc>
        <w:tc>
          <w:tcPr>
            <w:tcW w:w="1200" w:type="dxa"/>
            <w:tcBorders>
              <w:top w:val="single" w:sz="4" w:space="0" w:color="auto"/>
              <w:left w:val="single" w:sz="4" w:space="0" w:color="auto"/>
              <w:bottom w:val="single" w:sz="4" w:space="0" w:color="auto"/>
              <w:right w:val="single" w:sz="4" w:space="0" w:color="auto"/>
            </w:tcBorders>
          </w:tcPr>
          <w:p w14:paraId="30ED2409" w14:textId="0E319F7A" w:rsidR="006C6401" w:rsidRPr="2204ED0F" w:rsidRDefault="0076115C" w:rsidP="006C6401">
            <w:pPr>
              <w:spacing w:after="0" w:line="240" w:lineRule="auto"/>
              <w:rPr>
                <w:rFonts w:cs="Arial"/>
                <w:color w:val="000000" w:themeColor="text1"/>
              </w:rPr>
            </w:pPr>
            <w:r>
              <w:rPr>
                <w:rFonts w:cs="Arial"/>
                <w:color w:val="000000" w:themeColor="text1"/>
              </w:rPr>
              <w:t>10372.2</w:t>
            </w:r>
          </w:p>
        </w:tc>
      </w:tr>
      <w:tr w:rsidR="006C6401" w:rsidRPr="008E376A" w14:paraId="74977792" w14:textId="77777777" w:rsidTr="006C6401">
        <w:tc>
          <w:tcPr>
            <w:tcW w:w="908" w:type="dxa"/>
            <w:tcBorders>
              <w:top w:val="single" w:sz="4" w:space="0" w:color="auto"/>
              <w:left w:val="single" w:sz="4" w:space="0" w:color="auto"/>
              <w:bottom w:val="single" w:sz="4" w:space="0" w:color="auto"/>
              <w:right w:val="single" w:sz="4" w:space="0" w:color="auto"/>
            </w:tcBorders>
          </w:tcPr>
          <w:p w14:paraId="62352A00" w14:textId="41D984AB"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2C9930D2" w14:textId="003A7FB0" w:rsidR="006C6401" w:rsidRDefault="006C6401" w:rsidP="006C6401">
            <w:pPr>
              <w:spacing w:after="0" w:line="240" w:lineRule="auto"/>
              <w:rPr>
                <w:rFonts w:cs="Arial"/>
                <w:color w:val="000000" w:themeColor="text1"/>
              </w:rPr>
            </w:pPr>
            <w:r>
              <w:rPr>
                <w:rFonts w:cs="Arial"/>
                <w:color w:val="000000" w:themeColor="text1"/>
              </w:rPr>
              <w:t>March</w:t>
            </w:r>
          </w:p>
        </w:tc>
        <w:tc>
          <w:tcPr>
            <w:tcW w:w="939" w:type="dxa"/>
            <w:tcBorders>
              <w:top w:val="single" w:sz="4" w:space="0" w:color="auto"/>
              <w:left w:val="single" w:sz="4" w:space="0" w:color="auto"/>
              <w:bottom w:val="single" w:sz="4" w:space="0" w:color="auto"/>
              <w:right w:val="single" w:sz="4" w:space="0" w:color="auto"/>
            </w:tcBorders>
          </w:tcPr>
          <w:p w14:paraId="0BF2B492" w14:textId="1BF2EAFD" w:rsidR="006C6401" w:rsidRPr="2204ED0F" w:rsidRDefault="006C6401" w:rsidP="006C6401">
            <w:pPr>
              <w:spacing w:after="0" w:line="240" w:lineRule="auto"/>
              <w:rPr>
                <w:rFonts w:cs="Arial"/>
                <w:color w:val="000000" w:themeColor="text1"/>
              </w:rPr>
            </w:pPr>
            <w:r>
              <w:rPr>
                <w:rFonts w:cs="Arial"/>
                <w:color w:val="000000" w:themeColor="text1"/>
              </w:rPr>
              <w:t>25850</w:t>
            </w:r>
          </w:p>
        </w:tc>
        <w:tc>
          <w:tcPr>
            <w:tcW w:w="1200" w:type="dxa"/>
            <w:tcBorders>
              <w:top w:val="single" w:sz="4" w:space="0" w:color="auto"/>
              <w:left w:val="single" w:sz="4" w:space="0" w:color="auto"/>
              <w:bottom w:val="single" w:sz="4" w:space="0" w:color="auto"/>
              <w:right w:val="single" w:sz="4" w:space="0" w:color="auto"/>
            </w:tcBorders>
          </w:tcPr>
          <w:p w14:paraId="7905F511" w14:textId="786CBDC0" w:rsidR="006C6401" w:rsidRPr="2204ED0F" w:rsidRDefault="0076115C" w:rsidP="006C6401">
            <w:pPr>
              <w:spacing w:after="0" w:line="240" w:lineRule="auto"/>
              <w:rPr>
                <w:rFonts w:cs="Arial"/>
                <w:color w:val="000000" w:themeColor="text1"/>
              </w:rPr>
            </w:pPr>
            <w:r>
              <w:rPr>
                <w:rFonts w:cs="Arial"/>
                <w:color w:val="000000" w:themeColor="text1"/>
              </w:rPr>
              <w:t>14084.1</w:t>
            </w:r>
          </w:p>
        </w:tc>
      </w:tr>
      <w:tr w:rsidR="006C6401" w:rsidRPr="008E376A" w14:paraId="77BFC01F" w14:textId="77777777" w:rsidTr="006C6401">
        <w:tc>
          <w:tcPr>
            <w:tcW w:w="908" w:type="dxa"/>
            <w:tcBorders>
              <w:top w:val="single" w:sz="4" w:space="0" w:color="auto"/>
              <w:left w:val="single" w:sz="4" w:space="0" w:color="auto"/>
              <w:bottom w:val="single" w:sz="4" w:space="0" w:color="auto"/>
              <w:right w:val="single" w:sz="4" w:space="0" w:color="auto"/>
            </w:tcBorders>
          </w:tcPr>
          <w:p w14:paraId="71D3198B" w14:textId="3860355B"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4A87CCED" w14:textId="5F413BBB" w:rsidR="006C6401" w:rsidRDefault="006C6401" w:rsidP="006C6401">
            <w:pPr>
              <w:spacing w:after="0" w:line="240" w:lineRule="auto"/>
              <w:rPr>
                <w:rFonts w:cs="Arial"/>
                <w:color w:val="000000" w:themeColor="text1"/>
              </w:rPr>
            </w:pPr>
            <w:r>
              <w:rPr>
                <w:rFonts w:cs="Arial"/>
                <w:color w:val="000000" w:themeColor="text1"/>
              </w:rPr>
              <w:t>April</w:t>
            </w:r>
          </w:p>
        </w:tc>
        <w:tc>
          <w:tcPr>
            <w:tcW w:w="939" w:type="dxa"/>
            <w:tcBorders>
              <w:top w:val="single" w:sz="4" w:space="0" w:color="auto"/>
              <w:left w:val="single" w:sz="4" w:space="0" w:color="auto"/>
              <w:bottom w:val="single" w:sz="4" w:space="0" w:color="auto"/>
              <w:right w:val="single" w:sz="4" w:space="0" w:color="auto"/>
            </w:tcBorders>
          </w:tcPr>
          <w:p w14:paraId="56CD7B6F" w14:textId="4BB6033A" w:rsidR="006C6401" w:rsidRPr="2204ED0F" w:rsidRDefault="006C6401" w:rsidP="006C6401">
            <w:pPr>
              <w:spacing w:after="0" w:line="240" w:lineRule="auto"/>
              <w:rPr>
                <w:rFonts w:cs="Arial"/>
                <w:color w:val="000000" w:themeColor="text1"/>
              </w:rPr>
            </w:pPr>
            <w:r>
              <w:rPr>
                <w:rFonts w:cs="Arial"/>
                <w:color w:val="000000" w:themeColor="text1"/>
              </w:rPr>
              <w:t>26359</w:t>
            </w:r>
          </w:p>
        </w:tc>
        <w:tc>
          <w:tcPr>
            <w:tcW w:w="1200" w:type="dxa"/>
            <w:tcBorders>
              <w:top w:val="single" w:sz="4" w:space="0" w:color="auto"/>
              <w:left w:val="single" w:sz="4" w:space="0" w:color="auto"/>
              <w:bottom w:val="single" w:sz="4" w:space="0" w:color="auto"/>
              <w:right w:val="single" w:sz="4" w:space="0" w:color="auto"/>
            </w:tcBorders>
          </w:tcPr>
          <w:p w14:paraId="24053B46" w14:textId="42D122F1" w:rsidR="006C6401" w:rsidRPr="2204ED0F" w:rsidRDefault="0076115C" w:rsidP="006C6401">
            <w:pPr>
              <w:spacing w:after="0" w:line="240" w:lineRule="auto"/>
              <w:rPr>
                <w:rFonts w:cs="Arial"/>
                <w:color w:val="000000" w:themeColor="text1"/>
              </w:rPr>
            </w:pPr>
            <w:r>
              <w:rPr>
                <w:rFonts w:cs="Arial"/>
                <w:color w:val="000000" w:themeColor="text1"/>
              </w:rPr>
              <w:t>17051.5</w:t>
            </w:r>
          </w:p>
        </w:tc>
      </w:tr>
      <w:tr w:rsidR="006C6401" w:rsidRPr="008E376A" w14:paraId="26A5C08F" w14:textId="77777777" w:rsidTr="006C6401">
        <w:tc>
          <w:tcPr>
            <w:tcW w:w="908" w:type="dxa"/>
            <w:tcBorders>
              <w:top w:val="single" w:sz="4" w:space="0" w:color="auto"/>
              <w:left w:val="single" w:sz="4" w:space="0" w:color="auto"/>
              <w:bottom w:val="single" w:sz="4" w:space="0" w:color="auto"/>
              <w:right w:val="single" w:sz="4" w:space="0" w:color="auto"/>
            </w:tcBorders>
          </w:tcPr>
          <w:p w14:paraId="123A6159" w14:textId="20C918FC"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64B53F03" w14:textId="649D68FF" w:rsidR="006C6401" w:rsidRDefault="006C6401" w:rsidP="006C6401">
            <w:pPr>
              <w:spacing w:after="0" w:line="240" w:lineRule="auto"/>
              <w:rPr>
                <w:rFonts w:cs="Arial"/>
                <w:color w:val="000000" w:themeColor="text1"/>
              </w:rPr>
            </w:pPr>
            <w:r>
              <w:rPr>
                <w:rFonts w:cs="Arial"/>
                <w:color w:val="000000" w:themeColor="text1"/>
              </w:rPr>
              <w:t>May</w:t>
            </w:r>
          </w:p>
        </w:tc>
        <w:tc>
          <w:tcPr>
            <w:tcW w:w="939" w:type="dxa"/>
            <w:tcBorders>
              <w:top w:val="single" w:sz="4" w:space="0" w:color="auto"/>
              <w:left w:val="single" w:sz="4" w:space="0" w:color="auto"/>
              <w:bottom w:val="single" w:sz="4" w:space="0" w:color="auto"/>
              <w:right w:val="single" w:sz="4" w:space="0" w:color="auto"/>
            </w:tcBorders>
          </w:tcPr>
          <w:p w14:paraId="183F5253" w14:textId="70ACAC4D" w:rsidR="006C6401" w:rsidRPr="2204ED0F" w:rsidRDefault="006C6401" w:rsidP="006C6401">
            <w:pPr>
              <w:spacing w:after="0" w:line="240" w:lineRule="auto"/>
              <w:rPr>
                <w:rFonts w:cs="Arial"/>
                <w:color w:val="000000" w:themeColor="text1"/>
              </w:rPr>
            </w:pPr>
            <w:r>
              <w:rPr>
                <w:rFonts w:cs="Arial"/>
                <w:color w:val="000000" w:themeColor="text1"/>
              </w:rPr>
              <w:t>26150</w:t>
            </w:r>
          </w:p>
        </w:tc>
        <w:tc>
          <w:tcPr>
            <w:tcW w:w="1200" w:type="dxa"/>
            <w:tcBorders>
              <w:top w:val="single" w:sz="4" w:space="0" w:color="auto"/>
              <w:left w:val="single" w:sz="4" w:space="0" w:color="auto"/>
              <w:bottom w:val="single" w:sz="4" w:space="0" w:color="auto"/>
              <w:right w:val="single" w:sz="4" w:space="0" w:color="auto"/>
            </w:tcBorders>
          </w:tcPr>
          <w:p w14:paraId="5045F3C6" w14:textId="66A0925D" w:rsidR="006C6401" w:rsidRPr="2204ED0F" w:rsidRDefault="0076115C" w:rsidP="006C6401">
            <w:pPr>
              <w:spacing w:after="0" w:line="240" w:lineRule="auto"/>
              <w:rPr>
                <w:rFonts w:cs="Arial"/>
                <w:color w:val="000000" w:themeColor="text1"/>
              </w:rPr>
            </w:pPr>
            <w:r>
              <w:rPr>
                <w:rFonts w:cs="Arial"/>
                <w:color w:val="000000" w:themeColor="text1"/>
              </w:rPr>
              <w:t>15131.6</w:t>
            </w:r>
          </w:p>
        </w:tc>
      </w:tr>
      <w:tr w:rsidR="006C6401" w:rsidRPr="008E376A" w14:paraId="01077982" w14:textId="77777777" w:rsidTr="006C6401">
        <w:tc>
          <w:tcPr>
            <w:tcW w:w="908" w:type="dxa"/>
            <w:tcBorders>
              <w:top w:val="single" w:sz="4" w:space="0" w:color="auto"/>
              <w:left w:val="single" w:sz="4" w:space="0" w:color="auto"/>
              <w:bottom w:val="single" w:sz="4" w:space="0" w:color="auto"/>
              <w:right w:val="single" w:sz="4" w:space="0" w:color="auto"/>
            </w:tcBorders>
          </w:tcPr>
          <w:p w14:paraId="3FD8E852" w14:textId="5C6DB659"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7F55585E" w14:textId="05D1F4BA" w:rsidR="006C6401" w:rsidRDefault="006C6401" w:rsidP="006C6401">
            <w:pPr>
              <w:spacing w:after="0" w:line="240" w:lineRule="auto"/>
              <w:rPr>
                <w:rFonts w:cs="Arial"/>
                <w:color w:val="000000" w:themeColor="text1"/>
              </w:rPr>
            </w:pPr>
            <w:r>
              <w:rPr>
                <w:rFonts w:cs="Arial"/>
                <w:color w:val="000000" w:themeColor="text1"/>
              </w:rPr>
              <w:t>June</w:t>
            </w:r>
          </w:p>
        </w:tc>
        <w:tc>
          <w:tcPr>
            <w:tcW w:w="939" w:type="dxa"/>
            <w:tcBorders>
              <w:top w:val="single" w:sz="4" w:space="0" w:color="auto"/>
              <w:left w:val="single" w:sz="4" w:space="0" w:color="auto"/>
              <w:bottom w:val="single" w:sz="4" w:space="0" w:color="auto"/>
              <w:right w:val="single" w:sz="4" w:space="0" w:color="auto"/>
            </w:tcBorders>
          </w:tcPr>
          <w:p w14:paraId="082C1267" w14:textId="276D58DE" w:rsidR="006C6401" w:rsidRPr="2204ED0F" w:rsidRDefault="006C6401" w:rsidP="006C6401">
            <w:pPr>
              <w:spacing w:after="0" w:line="240" w:lineRule="auto"/>
              <w:rPr>
                <w:rFonts w:cs="Arial"/>
                <w:color w:val="000000" w:themeColor="text1"/>
              </w:rPr>
            </w:pPr>
            <w:r>
              <w:rPr>
                <w:rFonts w:cs="Arial"/>
                <w:color w:val="000000" w:themeColor="text1"/>
              </w:rPr>
              <w:t>26188</w:t>
            </w:r>
          </w:p>
        </w:tc>
        <w:tc>
          <w:tcPr>
            <w:tcW w:w="1200" w:type="dxa"/>
            <w:tcBorders>
              <w:top w:val="single" w:sz="4" w:space="0" w:color="auto"/>
              <w:left w:val="single" w:sz="4" w:space="0" w:color="auto"/>
              <w:bottom w:val="single" w:sz="4" w:space="0" w:color="auto"/>
              <w:right w:val="single" w:sz="4" w:space="0" w:color="auto"/>
            </w:tcBorders>
          </w:tcPr>
          <w:p w14:paraId="1DCA9D76" w14:textId="209A647D" w:rsidR="006C6401" w:rsidRPr="2204ED0F" w:rsidRDefault="0076115C" w:rsidP="006C6401">
            <w:pPr>
              <w:spacing w:after="0" w:line="240" w:lineRule="auto"/>
              <w:rPr>
                <w:rFonts w:cs="Arial"/>
                <w:color w:val="000000" w:themeColor="text1"/>
              </w:rPr>
            </w:pPr>
            <w:r>
              <w:rPr>
                <w:rFonts w:cs="Arial"/>
                <w:color w:val="000000" w:themeColor="text1"/>
              </w:rPr>
              <w:t>15814.6</w:t>
            </w:r>
          </w:p>
        </w:tc>
      </w:tr>
      <w:tr w:rsidR="006C6401" w:rsidRPr="008E376A" w14:paraId="249848F2" w14:textId="77777777" w:rsidTr="006C6401">
        <w:tc>
          <w:tcPr>
            <w:tcW w:w="908" w:type="dxa"/>
            <w:tcBorders>
              <w:top w:val="single" w:sz="4" w:space="0" w:color="auto"/>
              <w:left w:val="single" w:sz="4" w:space="0" w:color="auto"/>
              <w:bottom w:val="single" w:sz="4" w:space="0" w:color="auto"/>
              <w:right w:val="single" w:sz="4" w:space="0" w:color="auto"/>
            </w:tcBorders>
          </w:tcPr>
          <w:p w14:paraId="16CD2833" w14:textId="011A02A6"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578BFA4E" w14:textId="62A6413C" w:rsidR="006C6401" w:rsidRDefault="006C6401" w:rsidP="006C6401">
            <w:pPr>
              <w:spacing w:after="0" w:line="240" w:lineRule="auto"/>
              <w:rPr>
                <w:rFonts w:cs="Arial"/>
                <w:color w:val="000000" w:themeColor="text1"/>
              </w:rPr>
            </w:pPr>
            <w:r>
              <w:rPr>
                <w:rFonts w:cs="Arial"/>
                <w:color w:val="000000" w:themeColor="text1"/>
              </w:rPr>
              <w:t>July</w:t>
            </w:r>
          </w:p>
        </w:tc>
        <w:tc>
          <w:tcPr>
            <w:tcW w:w="939" w:type="dxa"/>
            <w:tcBorders>
              <w:top w:val="single" w:sz="4" w:space="0" w:color="auto"/>
              <w:left w:val="single" w:sz="4" w:space="0" w:color="auto"/>
              <w:bottom w:val="single" w:sz="4" w:space="0" w:color="auto"/>
              <w:right w:val="single" w:sz="4" w:space="0" w:color="auto"/>
            </w:tcBorders>
          </w:tcPr>
          <w:p w14:paraId="300E5625" w14:textId="4C56BFC8" w:rsidR="006C6401" w:rsidRPr="2204ED0F" w:rsidRDefault="006C6401" w:rsidP="006C6401">
            <w:pPr>
              <w:spacing w:after="0" w:line="240" w:lineRule="auto"/>
              <w:rPr>
                <w:rFonts w:cs="Arial"/>
                <w:color w:val="000000" w:themeColor="text1"/>
              </w:rPr>
            </w:pPr>
            <w:r>
              <w:rPr>
                <w:rFonts w:cs="Arial"/>
                <w:color w:val="000000" w:themeColor="text1"/>
              </w:rPr>
              <w:t>26176</w:t>
            </w:r>
          </w:p>
        </w:tc>
        <w:tc>
          <w:tcPr>
            <w:tcW w:w="1200" w:type="dxa"/>
            <w:tcBorders>
              <w:top w:val="single" w:sz="4" w:space="0" w:color="auto"/>
              <w:left w:val="single" w:sz="4" w:space="0" w:color="auto"/>
              <w:bottom w:val="single" w:sz="4" w:space="0" w:color="auto"/>
              <w:right w:val="single" w:sz="4" w:space="0" w:color="auto"/>
            </w:tcBorders>
          </w:tcPr>
          <w:p w14:paraId="310B9678" w14:textId="4C0C0784" w:rsidR="006C6401" w:rsidRPr="2204ED0F" w:rsidRDefault="0076115C" w:rsidP="006C6401">
            <w:pPr>
              <w:spacing w:after="0" w:line="240" w:lineRule="auto"/>
              <w:rPr>
                <w:rFonts w:cs="Arial"/>
                <w:color w:val="000000" w:themeColor="text1"/>
              </w:rPr>
            </w:pPr>
            <w:r>
              <w:rPr>
                <w:rFonts w:cs="Arial"/>
                <w:color w:val="000000" w:themeColor="text1"/>
              </w:rPr>
              <w:t>17385.2</w:t>
            </w:r>
          </w:p>
        </w:tc>
      </w:tr>
      <w:tr w:rsidR="006C6401" w:rsidRPr="008E376A" w14:paraId="69E55C0C" w14:textId="77777777" w:rsidTr="006C6401">
        <w:tc>
          <w:tcPr>
            <w:tcW w:w="908" w:type="dxa"/>
            <w:tcBorders>
              <w:top w:val="single" w:sz="4" w:space="0" w:color="auto"/>
              <w:left w:val="single" w:sz="4" w:space="0" w:color="auto"/>
              <w:bottom w:val="single" w:sz="4" w:space="0" w:color="auto"/>
              <w:right w:val="single" w:sz="4" w:space="0" w:color="auto"/>
            </w:tcBorders>
          </w:tcPr>
          <w:p w14:paraId="01332D1B" w14:textId="3ED390BD"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23561956" w14:textId="1F218772" w:rsidR="006C6401" w:rsidRDefault="006C6401" w:rsidP="006C6401">
            <w:pPr>
              <w:spacing w:after="0" w:line="240" w:lineRule="auto"/>
              <w:rPr>
                <w:rFonts w:cs="Arial"/>
                <w:color w:val="000000" w:themeColor="text1"/>
              </w:rPr>
            </w:pPr>
            <w:r>
              <w:rPr>
                <w:rFonts w:cs="Arial"/>
                <w:color w:val="000000" w:themeColor="text1"/>
              </w:rPr>
              <w:t>August</w:t>
            </w:r>
          </w:p>
        </w:tc>
        <w:tc>
          <w:tcPr>
            <w:tcW w:w="939" w:type="dxa"/>
            <w:tcBorders>
              <w:top w:val="single" w:sz="4" w:space="0" w:color="auto"/>
              <w:left w:val="single" w:sz="4" w:space="0" w:color="auto"/>
              <w:bottom w:val="single" w:sz="4" w:space="0" w:color="auto"/>
              <w:right w:val="single" w:sz="4" w:space="0" w:color="auto"/>
            </w:tcBorders>
          </w:tcPr>
          <w:p w14:paraId="3916B862" w14:textId="41A43146" w:rsidR="006C6401" w:rsidRPr="2204ED0F" w:rsidRDefault="0076115C" w:rsidP="006C6401">
            <w:pPr>
              <w:spacing w:after="0" w:line="240" w:lineRule="auto"/>
              <w:rPr>
                <w:rFonts w:cs="Arial"/>
                <w:color w:val="000000" w:themeColor="text1"/>
              </w:rPr>
            </w:pPr>
            <w:r>
              <w:rPr>
                <w:rFonts w:cs="Arial"/>
                <w:color w:val="000000" w:themeColor="text1"/>
              </w:rPr>
              <w:t>26208</w:t>
            </w:r>
          </w:p>
        </w:tc>
        <w:tc>
          <w:tcPr>
            <w:tcW w:w="1200" w:type="dxa"/>
            <w:tcBorders>
              <w:top w:val="single" w:sz="4" w:space="0" w:color="auto"/>
              <w:left w:val="single" w:sz="4" w:space="0" w:color="auto"/>
              <w:bottom w:val="single" w:sz="4" w:space="0" w:color="auto"/>
              <w:right w:val="single" w:sz="4" w:space="0" w:color="auto"/>
            </w:tcBorders>
          </w:tcPr>
          <w:p w14:paraId="37AC5929" w14:textId="6A3665A9" w:rsidR="006C6401" w:rsidRPr="2204ED0F" w:rsidRDefault="0076115C" w:rsidP="006C6401">
            <w:pPr>
              <w:spacing w:after="0" w:line="240" w:lineRule="auto"/>
              <w:rPr>
                <w:rFonts w:cs="Arial"/>
                <w:color w:val="000000" w:themeColor="text1"/>
              </w:rPr>
            </w:pPr>
            <w:r>
              <w:rPr>
                <w:rFonts w:cs="Arial"/>
                <w:color w:val="000000" w:themeColor="text1"/>
              </w:rPr>
              <w:t>15588.5</w:t>
            </w:r>
          </w:p>
        </w:tc>
      </w:tr>
      <w:tr w:rsidR="006C6401" w:rsidRPr="008E376A" w14:paraId="5A478CAA" w14:textId="77777777" w:rsidTr="006C6401">
        <w:tc>
          <w:tcPr>
            <w:tcW w:w="908" w:type="dxa"/>
            <w:tcBorders>
              <w:top w:val="single" w:sz="4" w:space="0" w:color="auto"/>
              <w:left w:val="single" w:sz="4" w:space="0" w:color="auto"/>
              <w:bottom w:val="single" w:sz="4" w:space="0" w:color="auto"/>
              <w:right w:val="single" w:sz="4" w:space="0" w:color="auto"/>
            </w:tcBorders>
          </w:tcPr>
          <w:p w14:paraId="1F09369E" w14:textId="3C560C1C"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3F810159" w14:textId="6455E26D" w:rsidR="006C6401" w:rsidRDefault="006C6401" w:rsidP="006C6401">
            <w:pPr>
              <w:spacing w:after="0" w:line="240" w:lineRule="auto"/>
              <w:rPr>
                <w:rFonts w:cs="Arial"/>
                <w:color w:val="000000" w:themeColor="text1"/>
              </w:rPr>
            </w:pPr>
            <w:r>
              <w:rPr>
                <w:rFonts w:cs="Arial"/>
                <w:color w:val="000000" w:themeColor="text1"/>
              </w:rPr>
              <w:t>September</w:t>
            </w:r>
          </w:p>
        </w:tc>
        <w:tc>
          <w:tcPr>
            <w:tcW w:w="939" w:type="dxa"/>
            <w:tcBorders>
              <w:top w:val="single" w:sz="4" w:space="0" w:color="auto"/>
              <w:left w:val="single" w:sz="4" w:space="0" w:color="auto"/>
              <w:bottom w:val="single" w:sz="4" w:space="0" w:color="auto"/>
              <w:right w:val="single" w:sz="4" w:space="0" w:color="auto"/>
            </w:tcBorders>
          </w:tcPr>
          <w:p w14:paraId="531D84C7" w14:textId="66605F82" w:rsidR="006C6401" w:rsidRPr="2204ED0F" w:rsidRDefault="0076115C" w:rsidP="006C6401">
            <w:pPr>
              <w:spacing w:after="0" w:line="240" w:lineRule="auto"/>
              <w:rPr>
                <w:rFonts w:cs="Arial"/>
                <w:color w:val="000000" w:themeColor="text1"/>
              </w:rPr>
            </w:pPr>
            <w:r>
              <w:rPr>
                <w:rFonts w:cs="Arial"/>
                <w:color w:val="000000" w:themeColor="text1"/>
              </w:rPr>
              <w:t>26307</w:t>
            </w:r>
          </w:p>
        </w:tc>
        <w:tc>
          <w:tcPr>
            <w:tcW w:w="1200" w:type="dxa"/>
            <w:tcBorders>
              <w:top w:val="single" w:sz="4" w:space="0" w:color="auto"/>
              <w:left w:val="single" w:sz="4" w:space="0" w:color="auto"/>
              <w:bottom w:val="single" w:sz="4" w:space="0" w:color="auto"/>
              <w:right w:val="single" w:sz="4" w:space="0" w:color="auto"/>
            </w:tcBorders>
          </w:tcPr>
          <w:p w14:paraId="2E7BB124" w14:textId="05A46155" w:rsidR="006C6401" w:rsidRPr="2204ED0F" w:rsidRDefault="0076115C" w:rsidP="006C6401">
            <w:pPr>
              <w:spacing w:after="0" w:line="240" w:lineRule="auto"/>
              <w:rPr>
                <w:rFonts w:cs="Arial"/>
                <w:color w:val="000000" w:themeColor="text1"/>
              </w:rPr>
            </w:pPr>
            <w:r>
              <w:rPr>
                <w:rFonts w:cs="Arial"/>
                <w:color w:val="000000" w:themeColor="text1"/>
              </w:rPr>
              <w:t>17196.7</w:t>
            </w:r>
          </w:p>
        </w:tc>
      </w:tr>
      <w:tr w:rsidR="006C6401" w:rsidRPr="008E376A" w14:paraId="1511AEB5" w14:textId="77777777" w:rsidTr="006C6401">
        <w:tc>
          <w:tcPr>
            <w:tcW w:w="908" w:type="dxa"/>
            <w:tcBorders>
              <w:top w:val="single" w:sz="4" w:space="0" w:color="auto"/>
              <w:left w:val="single" w:sz="4" w:space="0" w:color="auto"/>
              <w:bottom w:val="single" w:sz="4" w:space="0" w:color="auto"/>
              <w:right w:val="single" w:sz="4" w:space="0" w:color="auto"/>
            </w:tcBorders>
          </w:tcPr>
          <w:p w14:paraId="05EC46C1" w14:textId="0DBE26F6"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54630A4B" w14:textId="4DDC4A69" w:rsidR="006C6401" w:rsidRDefault="006C6401" w:rsidP="006C6401">
            <w:pPr>
              <w:spacing w:after="0" w:line="240" w:lineRule="auto"/>
              <w:rPr>
                <w:rFonts w:cs="Arial"/>
                <w:color w:val="000000" w:themeColor="text1"/>
              </w:rPr>
            </w:pPr>
            <w:r>
              <w:rPr>
                <w:rFonts w:cs="Arial"/>
                <w:color w:val="000000" w:themeColor="text1"/>
              </w:rPr>
              <w:t>October</w:t>
            </w:r>
          </w:p>
        </w:tc>
        <w:tc>
          <w:tcPr>
            <w:tcW w:w="939" w:type="dxa"/>
            <w:tcBorders>
              <w:top w:val="single" w:sz="4" w:space="0" w:color="auto"/>
              <w:left w:val="single" w:sz="4" w:space="0" w:color="auto"/>
              <w:bottom w:val="single" w:sz="4" w:space="0" w:color="auto"/>
              <w:right w:val="single" w:sz="4" w:space="0" w:color="auto"/>
            </w:tcBorders>
          </w:tcPr>
          <w:p w14:paraId="768EB137" w14:textId="12928951" w:rsidR="006C6401" w:rsidRPr="2204ED0F" w:rsidRDefault="0076115C" w:rsidP="006C6401">
            <w:pPr>
              <w:spacing w:after="0" w:line="240" w:lineRule="auto"/>
              <w:rPr>
                <w:rFonts w:cs="Arial"/>
                <w:color w:val="000000" w:themeColor="text1"/>
              </w:rPr>
            </w:pPr>
            <w:r>
              <w:rPr>
                <w:rFonts w:cs="Arial"/>
                <w:color w:val="000000" w:themeColor="text1"/>
              </w:rPr>
              <w:t>26465</w:t>
            </w:r>
          </w:p>
        </w:tc>
        <w:tc>
          <w:tcPr>
            <w:tcW w:w="1200" w:type="dxa"/>
            <w:tcBorders>
              <w:top w:val="single" w:sz="4" w:space="0" w:color="auto"/>
              <w:left w:val="single" w:sz="4" w:space="0" w:color="auto"/>
              <w:bottom w:val="single" w:sz="4" w:space="0" w:color="auto"/>
              <w:right w:val="single" w:sz="4" w:space="0" w:color="auto"/>
            </w:tcBorders>
          </w:tcPr>
          <w:p w14:paraId="5B31803E" w14:textId="24817999" w:rsidR="006C6401" w:rsidRPr="2204ED0F" w:rsidRDefault="0076115C" w:rsidP="006C6401">
            <w:pPr>
              <w:spacing w:after="0" w:line="240" w:lineRule="auto"/>
              <w:rPr>
                <w:rFonts w:cs="Arial"/>
                <w:color w:val="000000" w:themeColor="text1"/>
              </w:rPr>
            </w:pPr>
            <w:r>
              <w:rPr>
                <w:rFonts w:cs="Arial"/>
                <w:color w:val="000000" w:themeColor="text1"/>
              </w:rPr>
              <w:t>18898.9</w:t>
            </w:r>
          </w:p>
        </w:tc>
      </w:tr>
      <w:tr w:rsidR="006C6401" w:rsidRPr="008E376A" w14:paraId="2EBB7C31" w14:textId="77777777" w:rsidTr="006C6401">
        <w:tc>
          <w:tcPr>
            <w:tcW w:w="908" w:type="dxa"/>
            <w:tcBorders>
              <w:top w:val="single" w:sz="4" w:space="0" w:color="auto"/>
              <w:left w:val="single" w:sz="4" w:space="0" w:color="auto"/>
              <w:bottom w:val="single" w:sz="4" w:space="0" w:color="auto"/>
              <w:right w:val="single" w:sz="4" w:space="0" w:color="auto"/>
            </w:tcBorders>
          </w:tcPr>
          <w:p w14:paraId="6268039C" w14:textId="2B083E64"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4B5F57CE" w14:textId="171F7DAE" w:rsidR="006C6401" w:rsidRDefault="006C6401" w:rsidP="006C6401">
            <w:pPr>
              <w:spacing w:after="0" w:line="240" w:lineRule="auto"/>
              <w:rPr>
                <w:rFonts w:cs="Arial"/>
                <w:color w:val="000000" w:themeColor="text1"/>
              </w:rPr>
            </w:pPr>
            <w:r>
              <w:rPr>
                <w:rFonts w:cs="Arial"/>
                <w:color w:val="000000" w:themeColor="text1"/>
              </w:rPr>
              <w:t>November</w:t>
            </w:r>
          </w:p>
        </w:tc>
        <w:tc>
          <w:tcPr>
            <w:tcW w:w="939" w:type="dxa"/>
            <w:tcBorders>
              <w:top w:val="single" w:sz="4" w:space="0" w:color="auto"/>
              <w:left w:val="single" w:sz="4" w:space="0" w:color="auto"/>
              <w:bottom w:val="single" w:sz="4" w:space="0" w:color="auto"/>
              <w:right w:val="single" w:sz="4" w:space="0" w:color="auto"/>
            </w:tcBorders>
          </w:tcPr>
          <w:p w14:paraId="23B85566" w14:textId="2B8C57AB" w:rsidR="006C6401" w:rsidRPr="2204ED0F" w:rsidRDefault="0076115C" w:rsidP="006C6401">
            <w:pPr>
              <w:spacing w:after="0" w:line="240" w:lineRule="auto"/>
              <w:rPr>
                <w:rFonts w:cs="Arial"/>
                <w:color w:val="000000" w:themeColor="text1"/>
              </w:rPr>
            </w:pPr>
            <w:r>
              <w:rPr>
                <w:rFonts w:cs="Arial"/>
                <w:color w:val="000000" w:themeColor="text1"/>
              </w:rPr>
              <w:t>26465</w:t>
            </w:r>
          </w:p>
        </w:tc>
        <w:tc>
          <w:tcPr>
            <w:tcW w:w="1200" w:type="dxa"/>
            <w:tcBorders>
              <w:top w:val="single" w:sz="4" w:space="0" w:color="auto"/>
              <w:left w:val="single" w:sz="4" w:space="0" w:color="auto"/>
              <w:bottom w:val="single" w:sz="4" w:space="0" w:color="auto"/>
              <w:right w:val="single" w:sz="4" w:space="0" w:color="auto"/>
            </w:tcBorders>
          </w:tcPr>
          <w:p w14:paraId="71B1028B" w14:textId="7D688BEA" w:rsidR="006C6401" w:rsidRPr="2204ED0F" w:rsidRDefault="0076115C" w:rsidP="006C6401">
            <w:pPr>
              <w:spacing w:after="0" w:line="240" w:lineRule="auto"/>
              <w:rPr>
                <w:rFonts w:cs="Arial"/>
                <w:color w:val="000000" w:themeColor="text1"/>
              </w:rPr>
            </w:pPr>
            <w:r>
              <w:rPr>
                <w:rFonts w:cs="Arial"/>
                <w:color w:val="000000" w:themeColor="text1"/>
              </w:rPr>
              <w:t>19619.4</w:t>
            </w:r>
          </w:p>
        </w:tc>
      </w:tr>
      <w:tr w:rsidR="006C6401" w:rsidRPr="008E376A" w14:paraId="73C9F6D3" w14:textId="77777777" w:rsidTr="006C6401">
        <w:tc>
          <w:tcPr>
            <w:tcW w:w="908" w:type="dxa"/>
            <w:tcBorders>
              <w:top w:val="single" w:sz="4" w:space="0" w:color="auto"/>
              <w:left w:val="single" w:sz="4" w:space="0" w:color="auto"/>
              <w:bottom w:val="single" w:sz="4" w:space="0" w:color="auto"/>
              <w:right w:val="single" w:sz="4" w:space="0" w:color="auto"/>
            </w:tcBorders>
          </w:tcPr>
          <w:p w14:paraId="69983AA4" w14:textId="7D71F28A" w:rsidR="006C6401" w:rsidRPr="00680C6F" w:rsidRDefault="006C6401" w:rsidP="006C6401">
            <w:pPr>
              <w:pStyle w:val="TableofFigures"/>
              <w:rPr>
                <w:b/>
              </w:rPr>
            </w:pPr>
            <w:r>
              <w:rPr>
                <w:b/>
              </w:rPr>
              <w:t>2022</w:t>
            </w:r>
          </w:p>
        </w:tc>
        <w:tc>
          <w:tcPr>
            <w:tcW w:w="1093" w:type="dxa"/>
            <w:tcBorders>
              <w:top w:val="single" w:sz="4" w:space="0" w:color="auto"/>
              <w:left w:val="single" w:sz="4" w:space="0" w:color="auto"/>
              <w:bottom w:val="single" w:sz="4" w:space="0" w:color="auto"/>
              <w:right w:val="single" w:sz="4" w:space="0" w:color="auto"/>
            </w:tcBorders>
          </w:tcPr>
          <w:p w14:paraId="100E936D" w14:textId="2E254664" w:rsidR="006C6401" w:rsidRDefault="006C6401" w:rsidP="006C6401">
            <w:pPr>
              <w:spacing w:after="0" w:line="240" w:lineRule="auto"/>
              <w:rPr>
                <w:rFonts w:cs="Arial"/>
                <w:color w:val="000000" w:themeColor="text1"/>
              </w:rPr>
            </w:pPr>
            <w:r>
              <w:rPr>
                <w:rFonts w:cs="Arial"/>
                <w:color w:val="000000" w:themeColor="text1"/>
              </w:rPr>
              <w:t>December</w:t>
            </w:r>
          </w:p>
        </w:tc>
        <w:tc>
          <w:tcPr>
            <w:tcW w:w="939" w:type="dxa"/>
            <w:tcBorders>
              <w:top w:val="single" w:sz="4" w:space="0" w:color="auto"/>
              <w:left w:val="single" w:sz="4" w:space="0" w:color="auto"/>
              <w:bottom w:val="single" w:sz="4" w:space="0" w:color="auto"/>
              <w:right w:val="single" w:sz="4" w:space="0" w:color="auto"/>
            </w:tcBorders>
          </w:tcPr>
          <w:p w14:paraId="1A3A7B04" w14:textId="52040AF6" w:rsidR="006C6401" w:rsidRPr="2204ED0F" w:rsidRDefault="0076115C" w:rsidP="006C6401">
            <w:pPr>
              <w:spacing w:after="0" w:line="240" w:lineRule="auto"/>
              <w:rPr>
                <w:rFonts w:cs="Arial"/>
                <w:color w:val="000000" w:themeColor="text1"/>
              </w:rPr>
            </w:pPr>
            <w:r>
              <w:rPr>
                <w:rFonts w:cs="Arial"/>
                <w:color w:val="000000" w:themeColor="text1"/>
              </w:rPr>
              <w:t>26501</w:t>
            </w:r>
          </w:p>
        </w:tc>
        <w:tc>
          <w:tcPr>
            <w:tcW w:w="1200" w:type="dxa"/>
            <w:tcBorders>
              <w:top w:val="single" w:sz="4" w:space="0" w:color="auto"/>
              <w:left w:val="single" w:sz="4" w:space="0" w:color="auto"/>
              <w:bottom w:val="single" w:sz="4" w:space="0" w:color="auto"/>
              <w:right w:val="single" w:sz="4" w:space="0" w:color="auto"/>
            </w:tcBorders>
          </w:tcPr>
          <w:p w14:paraId="508E07B1" w14:textId="100E5CD9" w:rsidR="006C6401" w:rsidRPr="2204ED0F" w:rsidRDefault="0076115C" w:rsidP="006C6401">
            <w:pPr>
              <w:spacing w:after="0" w:line="240" w:lineRule="auto"/>
              <w:rPr>
                <w:rFonts w:cs="Arial"/>
                <w:color w:val="000000" w:themeColor="text1"/>
              </w:rPr>
            </w:pPr>
            <w:r>
              <w:rPr>
                <w:rFonts w:cs="Arial"/>
                <w:color w:val="000000" w:themeColor="text1"/>
              </w:rPr>
              <w:t>18276.5</w:t>
            </w:r>
          </w:p>
        </w:tc>
      </w:tr>
      <w:tr w:rsidR="006C6401" w:rsidRPr="008E376A" w14:paraId="735A7B24" w14:textId="77777777" w:rsidTr="006C6401">
        <w:tc>
          <w:tcPr>
            <w:tcW w:w="908" w:type="dxa"/>
            <w:tcBorders>
              <w:top w:val="single" w:sz="4" w:space="0" w:color="auto"/>
              <w:left w:val="single" w:sz="4" w:space="0" w:color="auto"/>
              <w:bottom w:val="single" w:sz="4" w:space="0" w:color="auto"/>
              <w:right w:val="single" w:sz="4" w:space="0" w:color="auto"/>
            </w:tcBorders>
          </w:tcPr>
          <w:p w14:paraId="260F0194" w14:textId="25A81CE3" w:rsidR="006C6401" w:rsidRPr="00680C6F" w:rsidRDefault="006C6401" w:rsidP="006C6401">
            <w:pPr>
              <w:pStyle w:val="TableofFigures"/>
              <w:rPr>
                <w:b/>
              </w:rPr>
            </w:pPr>
            <w:r>
              <w:rPr>
                <w:b/>
              </w:rPr>
              <w:t>2023</w:t>
            </w:r>
          </w:p>
        </w:tc>
        <w:tc>
          <w:tcPr>
            <w:tcW w:w="1093" w:type="dxa"/>
            <w:tcBorders>
              <w:top w:val="single" w:sz="4" w:space="0" w:color="auto"/>
              <w:left w:val="single" w:sz="4" w:space="0" w:color="auto"/>
              <w:bottom w:val="single" w:sz="4" w:space="0" w:color="auto"/>
              <w:right w:val="single" w:sz="4" w:space="0" w:color="auto"/>
            </w:tcBorders>
          </w:tcPr>
          <w:p w14:paraId="28BC473C" w14:textId="670A3D6C" w:rsidR="006C6401" w:rsidRDefault="006C6401" w:rsidP="006C6401">
            <w:pPr>
              <w:spacing w:after="0" w:line="240" w:lineRule="auto"/>
              <w:rPr>
                <w:rFonts w:cs="Arial"/>
                <w:color w:val="000000" w:themeColor="text1"/>
              </w:rPr>
            </w:pPr>
            <w:r>
              <w:rPr>
                <w:rFonts w:cs="Arial"/>
                <w:color w:val="000000" w:themeColor="text1"/>
              </w:rPr>
              <w:t>January</w:t>
            </w:r>
          </w:p>
        </w:tc>
        <w:tc>
          <w:tcPr>
            <w:tcW w:w="939" w:type="dxa"/>
            <w:tcBorders>
              <w:top w:val="single" w:sz="4" w:space="0" w:color="auto"/>
              <w:left w:val="single" w:sz="4" w:space="0" w:color="auto"/>
              <w:bottom w:val="single" w:sz="4" w:space="0" w:color="auto"/>
              <w:right w:val="single" w:sz="4" w:space="0" w:color="auto"/>
            </w:tcBorders>
          </w:tcPr>
          <w:p w14:paraId="5A0592AD" w14:textId="3A491516" w:rsidR="006C6401" w:rsidRPr="2204ED0F" w:rsidRDefault="0076115C" w:rsidP="006C6401">
            <w:pPr>
              <w:spacing w:after="0" w:line="240" w:lineRule="auto"/>
              <w:rPr>
                <w:rFonts w:cs="Arial"/>
                <w:color w:val="000000" w:themeColor="text1"/>
              </w:rPr>
            </w:pPr>
            <w:r>
              <w:rPr>
                <w:rFonts w:cs="Arial"/>
                <w:color w:val="000000" w:themeColor="text1"/>
              </w:rPr>
              <w:t>26464</w:t>
            </w:r>
          </w:p>
        </w:tc>
        <w:tc>
          <w:tcPr>
            <w:tcW w:w="1200" w:type="dxa"/>
            <w:tcBorders>
              <w:top w:val="single" w:sz="4" w:space="0" w:color="auto"/>
              <w:left w:val="single" w:sz="4" w:space="0" w:color="auto"/>
              <w:bottom w:val="single" w:sz="4" w:space="0" w:color="auto"/>
              <w:right w:val="single" w:sz="4" w:space="0" w:color="auto"/>
            </w:tcBorders>
          </w:tcPr>
          <w:p w14:paraId="22D8D46F" w14:textId="19131B2F" w:rsidR="006C6401" w:rsidRPr="2204ED0F" w:rsidRDefault="0076115C" w:rsidP="006C6401">
            <w:pPr>
              <w:spacing w:after="0" w:line="240" w:lineRule="auto"/>
              <w:rPr>
                <w:rFonts w:cs="Arial"/>
                <w:color w:val="000000" w:themeColor="text1"/>
              </w:rPr>
            </w:pPr>
            <w:r>
              <w:rPr>
                <w:rFonts w:cs="Arial"/>
                <w:color w:val="000000" w:themeColor="text1"/>
              </w:rPr>
              <w:t>17857.8</w:t>
            </w:r>
          </w:p>
        </w:tc>
      </w:tr>
      <w:tr w:rsidR="006C6401" w:rsidRPr="008E376A" w14:paraId="639EAB3F" w14:textId="77777777" w:rsidTr="006C6401">
        <w:tc>
          <w:tcPr>
            <w:tcW w:w="908" w:type="dxa"/>
            <w:tcBorders>
              <w:top w:val="single" w:sz="4" w:space="0" w:color="auto"/>
              <w:left w:val="single" w:sz="4" w:space="0" w:color="auto"/>
              <w:bottom w:val="single" w:sz="4" w:space="0" w:color="auto"/>
              <w:right w:val="single" w:sz="4" w:space="0" w:color="auto"/>
            </w:tcBorders>
          </w:tcPr>
          <w:p w14:paraId="71330598" w14:textId="583E71D6" w:rsidR="006C6401" w:rsidRPr="00680C6F" w:rsidRDefault="006C6401" w:rsidP="006C6401">
            <w:pPr>
              <w:pStyle w:val="TableofFigures"/>
              <w:rPr>
                <w:b/>
              </w:rPr>
            </w:pPr>
            <w:r>
              <w:rPr>
                <w:b/>
              </w:rPr>
              <w:t>2023</w:t>
            </w:r>
          </w:p>
        </w:tc>
        <w:tc>
          <w:tcPr>
            <w:tcW w:w="1093" w:type="dxa"/>
            <w:tcBorders>
              <w:top w:val="single" w:sz="4" w:space="0" w:color="auto"/>
              <w:left w:val="single" w:sz="4" w:space="0" w:color="auto"/>
              <w:bottom w:val="single" w:sz="4" w:space="0" w:color="auto"/>
              <w:right w:val="single" w:sz="4" w:space="0" w:color="auto"/>
            </w:tcBorders>
          </w:tcPr>
          <w:p w14:paraId="4D6A7940" w14:textId="0EE342F0" w:rsidR="006C6401" w:rsidRDefault="006C6401" w:rsidP="006C6401">
            <w:pPr>
              <w:spacing w:after="0" w:line="240" w:lineRule="auto"/>
              <w:rPr>
                <w:rFonts w:cs="Arial"/>
                <w:color w:val="000000" w:themeColor="text1"/>
              </w:rPr>
            </w:pPr>
            <w:r>
              <w:rPr>
                <w:rFonts w:cs="Arial"/>
                <w:color w:val="000000" w:themeColor="text1"/>
              </w:rPr>
              <w:t>February</w:t>
            </w:r>
          </w:p>
        </w:tc>
        <w:tc>
          <w:tcPr>
            <w:tcW w:w="939" w:type="dxa"/>
            <w:tcBorders>
              <w:top w:val="single" w:sz="4" w:space="0" w:color="auto"/>
              <w:left w:val="single" w:sz="4" w:space="0" w:color="auto"/>
              <w:bottom w:val="single" w:sz="4" w:space="0" w:color="auto"/>
              <w:right w:val="single" w:sz="4" w:space="0" w:color="auto"/>
            </w:tcBorders>
          </w:tcPr>
          <w:p w14:paraId="08BA6EC9" w14:textId="5B7551D9" w:rsidR="006C6401" w:rsidRPr="2204ED0F" w:rsidRDefault="0076115C" w:rsidP="006C6401">
            <w:pPr>
              <w:spacing w:after="0" w:line="240" w:lineRule="auto"/>
              <w:rPr>
                <w:rFonts w:cs="Arial"/>
                <w:color w:val="000000" w:themeColor="text1"/>
              </w:rPr>
            </w:pPr>
            <w:r>
              <w:rPr>
                <w:rFonts w:cs="Arial"/>
                <w:color w:val="000000" w:themeColor="text1"/>
              </w:rPr>
              <w:t>26412</w:t>
            </w:r>
          </w:p>
        </w:tc>
        <w:tc>
          <w:tcPr>
            <w:tcW w:w="1200" w:type="dxa"/>
            <w:tcBorders>
              <w:top w:val="single" w:sz="4" w:space="0" w:color="auto"/>
              <w:left w:val="single" w:sz="4" w:space="0" w:color="auto"/>
              <w:bottom w:val="single" w:sz="4" w:space="0" w:color="auto"/>
              <w:right w:val="single" w:sz="4" w:space="0" w:color="auto"/>
            </w:tcBorders>
          </w:tcPr>
          <w:p w14:paraId="7338C306" w14:textId="2BB21AA9" w:rsidR="006C6401" w:rsidRPr="2204ED0F" w:rsidRDefault="0076115C" w:rsidP="006C6401">
            <w:pPr>
              <w:spacing w:after="0" w:line="240" w:lineRule="auto"/>
              <w:rPr>
                <w:rFonts w:cs="Arial"/>
                <w:color w:val="000000" w:themeColor="text1"/>
              </w:rPr>
            </w:pPr>
            <w:r>
              <w:rPr>
                <w:rFonts w:cs="Arial"/>
                <w:color w:val="000000" w:themeColor="text1"/>
              </w:rPr>
              <w:t>19424.4</w:t>
            </w:r>
          </w:p>
        </w:tc>
      </w:tr>
      <w:tr w:rsidR="006C6401" w:rsidRPr="008E376A" w14:paraId="5AF6D8BD" w14:textId="77777777" w:rsidTr="006C6401">
        <w:tc>
          <w:tcPr>
            <w:tcW w:w="908" w:type="dxa"/>
            <w:tcBorders>
              <w:top w:val="single" w:sz="4" w:space="0" w:color="auto"/>
              <w:left w:val="single" w:sz="4" w:space="0" w:color="auto"/>
              <w:bottom w:val="single" w:sz="4" w:space="0" w:color="auto"/>
              <w:right w:val="single" w:sz="4" w:space="0" w:color="auto"/>
            </w:tcBorders>
          </w:tcPr>
          <w:p w14:paraId="591C89A5" w14:textId="1AAF793A" w:rsidR="006C6401" w:rsidRPr="00680C6F" w:rsidRDefault="006C6401" w:rsidP="006C6401">
            <w:pPr>
              <w:pStyle w:val="TableofFigures"/>
              <w:rPr>
                <w:b/>
              </w:rPr>
            </w:pPr>
            <w:r>
              <w:rPr>
                <w:b/>
              </w:rPr>
              <w:t>2023</w:t>
            </w:r>
          </w:p>
        </w:tc>
        <w:tc>
          <w:tcPr>
            <w:tcW w:w="1093" w:type="dxa"/>
            <w:tcBorders>
              <w:top w:val="single" w:sz="4" w:space="0" w:color="auto"/>
              <w:left w:val="single" w:sz="4" w:space="0" w:color="auto"/>
              <w:bottom w:val="single" w:sz="4" w:space="0" w:color="auto"/>
              <w:right w:val="single" w:sz="4" w:space="0" w:color="auto"/>
            </w:tcBorders>
          </w:tcPr>
          <w:p w14:paraId="36D95F26" w14:textId="3F8B977A" w:rsidR="006C6401" w:rsidRDefault="006C6401" w:rsidP="006C6401">
            <w:pPr>
              <w:spacing w:after="0" w:line="240" w:lineRule="auto"/>
              <w:rPr>
                <w:rFonts w:cs="Arial"/>
                <w:color w:val="000000" w:themeColor="text1"/>
              </w:rPr>
            </w:pPr>
            <w:r>
              <w:rPr>
                <w:rFonts w:cs="Arial"/>
                <w:color w:val="000000" w:themeColor="text1"/>
              </w:rPr>
              <w:t>March</w:t>
            </w:r>
          </w:p>
        </w:tc>
        <w:tc>
          <w:tcPr>
            <w:tcW w:w="939" w:type="dxa"/>
            <w:tcBorders>
              <w:top w:val="single" w:sz="4" w:space="0" w:color="auto"/>
              <w:left w:val="single" w:sz="4" w:space="0" w:color="auto"/>
              <w:bottom w:val="single" w:sz="4" w:space="0" w:color="auto"/>
              <w:right w:val="single" w:sz="4" w:space="0" w:color="auto"/>
            </w:tcBorders>
          </w:tcPr>
          <w:p w14:paraId="4C241756" w14:textId="23AE61AA" w:rsidR="006C6401" w:rsidRPr="2204ED0F" w:rsidRDefault="0076115C" w:rsidP="006C6401">
            <w:pPr>
              <w:spacing w:after="0" w:line="240" w:lineRule="auto"/>
              <w:rPr>
                <w:rFonts w:cs="Arial"/>
                <w:color w:val="000000" w:themeColor="text1"/>
              </w:rPr>
            </w:pPr>
            <w:r>
              <w:rPr>
                <w:rFonts w:cs="Arial"/>
                <w:color w:val="000000" w:themeColor="text1"/>
              </w:rPr>
              <w:t>26904</w:t>
            </w:r>
          </w:p>
        </w:tc>
        <w:tc>
          <w:tcPr>
            <w:tcW w:w="1200" w:type="dxa"/>
            <w:tcBorders>
              <w:top w:val="single" w:sz="4" w:space="0" w:color="auto"/>
              <w:left w:val="single" w:sz="4" w:space="0" w:color="auto"/>
              <w:bottom w:val="single" w:sz="4" w:space="0" w:color="auto"/>
              <w:right w:val="single" w:sz="4" w:space="0" w:color="auto"/>
            </w:tcBorders>
          </w:tcPr>
          <w:p w14:paraId="1FA0129D" w14:textId="3CA048C0" w:rsidR="006C6401" w:rsidRPr="2204ED0F" w:rsidRDefault="0076115C" w:rsidP="006C6401">
            <w:pPr>
              <w:spacing w:after="0" w:line="240" w:lineRule="auto"/>
              <w:rPr>
                <w:rFonts w:cs="Arial"/>
                <w:color w:val="000000" w:themeColor="text1"/>
              </w:rPr>
            </w:pPr>
            <w:r>
              <w:rPr>
                <w:rFonts w:cs="Arial"/>
                <w:color w:val="000000" w:themeColor="text1"/>
              </w:rPr>
              <w:t>20740.5</w:t>
            </w:r>
          </w:p>
        </w:tc>
      </w:tr>
      <w:tr w:rsidR="006C6401" w:rsidRPr="008E376A" w14:paraId="7C0A66D5" w14:textId="77777777" w:rsidTr="006C6401">
        <w:tc>
          <w:tcPr>
            <w:tcW w:w="908" w:type="dxa"/>
            <w:tcBorders>
              <w:top w:val="single" w:sz="4" w:space="0" w:color="auto"/>
              <w:left w:val="single" w:sz="4" w:space="0" w:color="auto"/>
              <w:bottom w:val="single" w:sz="4" w:space="0" w:color="auto"/>
              <w:right w:val="single" w:sz="4" w:space="0" w:color="auto"/>
            </w:tcBorders>
          </w:tcPr>
          <w:p w14:paraId="4AE5C458" w14:textId="5EBB603D" w:rsidR="006C6401" w:rsidRPr="00680C6F" w:rsidRDefault="006C6401" w:rsidP="006C6401">
            <w:pPr>
              <w:pStyle w:val="TableofFigures"/>
              <w:rPr>
                <w:b/>
              </w:rPr>
            </w:pPr>
            <w:r>
              <w:rPr>
                <w:b/>
              </w:rPr>
              <w:t>2023</w:t>
            </w:r>
          </w:p>
        </w:tc>
        <w:tc>
          <w:tcPr>
            <w:tcW w:w="1093" w:type="dxa"/>
            <w:tcBorders>
              <w:top w:val="single" w:sz="4" w:space="0" w:color="auto"/>
              <w:left w:val="single" w:sz="4" w:space="0" w:color="auto"/>
              <w:bottom w:val="single" w:sz="4" w:space="0" w:color="auto"/>
              <w:right w:val="single" w:sz="4" w:space="0" w:color="auto"/>
            </w:tcBorders>
          </w:tcPr>
          <w:p w14:paraId="6BAA3D35" w14:textId="693EF630" w:rsidR="006C6401" w:rsidRDefault="006C6401" w:rsidP="006C6401">
            <w:pPr>
              <w:spacing w:after="0" w:line="240" w:lineRule="auto"/>
              <w:rPr>
                <w:rFonts w:cs="Arial"/>
                <w:color w:val="000000" w:themeColor="text1"/>
              </w:rPr>
            </w:pPr>
            <w:r>
              <w:rPr>
                <w:rFonts w:cs="Arial"/>
                <w:color w:val="000000" w:themeColor="text1"/>
              </w:rPr>
              <w:t>April</w:t>
            </w:r>
          </w:p>
        </w:tc>
        <w:tc>
          <w:tcPr>
            <w:tcW w:w="939" w:type="dxa"/>
            <w:tcBorders>
              <w:top w:val="single" w:sz="4" w:space="0" w:color="auto"/>
              <w:left w:val="single" w:sz="4" w:space="0" w:color="auto"/>
              <w:bottom w:val="single" w:sz="4" w:space="0" w:color="auto"/>
              <w:right w:val="single" w:sz="4" w:space="0" w:color="auto"/>
            </w:tcBorders>
          </w:tcPr>
          <w:p w14:paraId="7CFB00E7" w14:textId="4E4C5871" w:rsidR="006C6401" w:rsidRPr="2204ED0F" w:rsidRDefault="0076115C" w:rsidP="006C6401">
            <w:pPr>
              <w:spacing w:after="0" w:line="240" w:lineRule="auto"/>
              <w:rPr>
                <w:rFonts w:cs="Arial"/>
                <w:color w:val="000000" w:themeColor="text1"/>
              </w:rPr>
            </w:pPr>
            <w:r>
              <w:rPr>
                <w:rFonts w:cs="Arial"/>
                <w:color w:val="000000" w:themeColor="text1"/>
              </w:rPr>
              <w:t>27215</w:t>
            </w:r>
          </w:p>
        </w:tc>
        <w:tc>
          <w:tcPr>
            <w:tcW w:w="1200" w:type="dxa"/>
            <w:tcBorders>
              <w:top w:val="single" w:sz="4" w:space="0" w:color="auto"/>
              <w:left w:val="single" w:sz="4" w:space="0" w:color="auto"/>
              <w:bottom w:val="single" w:sz="4" w:space="0" w:color="auto"/>
              <w:right w:val="single" w:sz="4" w:space="0" w:color="auto"/>
            </w:tcBorders>
          </w:tcPr>
          <w:p w14:paraId="445E986D" w14:textId="7992AC26" w:rsidR="006C6401" w:rsidRPr="2204ED0F" w:rsidRDefault="0076115C" w:rsidP="006C6401">
            <w:pPr>
              <w:spacing w:after="0" w:line="240" w:lineRule="auto"/>
              <w:rPr>
                <w:rFonts w:cs="Arial"/>
                <w:color w:val="000000" w:themeColor="text1"/>
              </w:rPr>
            </w:pPr>
            <w:r>
              <w:rPr>
                <w:rFonts w:cs="Arial"/>
                <w:color w:val="000000" w:themeColor="text1"/>
              </w:rPr>
              <w:t>18069.1</w:t>
            </w:r>
          </w:p>
        </w:tc>
      </w:tr>
      <w:tr w:rsidR="006C6401" w:rsidRPr="008E376A" w14:paraId="587A80D8" w14:textId="77777777" w:rsidTr="006C6401">
        <w:tc>
          <w:tcPr>
            <w:tcW w:w="908" w:type="dxa"/>
            <w:tcBorders>
              <w:top w:val="single" w:sz="4" w:space="0" w:color="auto"/>
              <w:left w:val="single" w:sz="4" w:space="0" w:color="auto"/>
              <w:bottom w:val="single" w:sz="4" w:space="0" w:color="auto"/>
              <w:right w:val="single" w:sz="4" w:space="0" w:color="auto"/>
            </w:tcBorders>
          </w:tcPr>
          <w:p w14:paraId="36180665" w14:textId="2350A9E6" w:rsidR="006C6401" w:rsidRPr="00680C6F" w:rsidRDefault="006C6401" w:rsidP="006C6401">
            <w:pPr>
              <w:pStyle w:val="TableofFigures"/>
              <w:rPr>
                <w:b/>
              </w:rPr>
            </w:pPr>
            <w:r>
              <w:rPr>
                <w:b/>
              </w:rPr>
              <w:t>2023</w:t>
            </w:r>
          </w:p>
        </w:tc>
        <w:tc>
          <w:tcPr>
            <w:tcW w:w="1093" w:type="dxa"/>
            <w:tcBorders>
              <w:top w:val="single" w:sz="4" w:space="0" w:color="auto"/>
              <w:left w:val="single" w:sz="4" w:space="0" w:color="auto"/>
              <w:bottom w:val="single" w:sz="4" w:space="0" w:color="auto"/>
              <w:right w:val="single" w:sz="4" w:space="0" w:color="auto"/>
            </w:tcBorders>
          </w:tcPr>
          <w:p w14:paraId="52BA24D6" w14:textId="2F778B98" w:rsidR="006C6401" w:rsidRDefault="006C6401" w:rsidP="006C6401">
            <w:pPr>
              <w:spacing w:after="0" w:line="240" w:lineRule="auto"/>
              <w:rPr>
                <w:rFonts w:cs="Arial"/>
                <w:color w:val="000000" w:themeColor="text1"/>
              </w:rPr>
            </w:pPr>
            <w:r>
              <w:rPr>
                <w:rFonts w:cs="Arial"/>
                <w:color w:val="000000" w:themeColor="text1"/>
              </w:rPr>
              <w:t>May</w:t>
            </w:r>
          </w:p>
        </w:tc>
        <w:tc>
          <w:tcPr>
            <w:tcW w:w="939" w:type="dxa"/>
            <w:tcBorders>
              <w:top w:val="single" w:sz="4" w:space="0" w:color="auto"/>
              <w:left w:val="single" w:sz="4" w:space="0" w:color="auto"/>
              <w:bottom w:val="single" w:sz="4" w:space="0" w:color="auto"/>
              <w:right w:val="single" w:sz="4" w:space="0" w:color="auto"/>
            </w:tcBorders>
          </w:tcPr>
          <w:p w14:paraId="4A23FEE8" w14:textId="0085A57F" w:rsidR="006C6401" w:rsidRPr="2204ED0F" w:rsidRDefault="0076115C" w:rsidP="006C6401">
            <w:pPr>
              <w:spacing w:after="0" w:line="240" w:lineRule="auto"/>
              <w:rPr>
                <w:rFonts w:cs="Arial"/>
                <w:color w:val="000000" w:themeColor="text1"/>
              </w:rPr>
            </w:pPr>
            <w:r>
              <w:rPr>
                <w:rFonts w:cs="Arial"/>
                <w:color w:val="000000" w:themeColor="text1"/>
              </w:rPr>
              <w:t>27668</w:t>
            </w:r>
          </w:p>
        </w:tc>
        <w:tc>
          <w:tcPr>
            <w:tcW w:w="1200" w:type="dxa"/>
            <w:tcBorders>
              <w:top w:val="single" w:sz="4" w:space="0" w:color="auto"/>
              <w:left w:val="single" w:sz="4" w:space="0" w:color="auto"/>
              <w:bottom w:val="single" w:sz="4" w:space="0" w:color="auto"/>
              <w:right w:val="single" w:sz="4" w:space="0" w:color="auto"/>
            </w:tcBorders>
          </w:tcPr>
          <w:p w14:paraId="61F6E9F7" w14:textId="5278ECCB" w:rsidR="006C6401" w:rsidRPr="2204ED0F" w:rsidRDefault="0076115C" w:rsidP="006C6401">
            <w:pPr>
              <w:spacing w:after="0" w:line="240" w:lineRule="auto"/>
              <w:rPr>
                <w:rFonts w:cs="Arial"/>
                <w:color w:val="000000" w:themeColor="text1"/>
              </w:rPr>
            </w:pPr>
            <w:r>
              <w:rPr>
                <w:rFonts w:cs="Arial"/>
                <w:color w:val="000000" w:themeColor="text1"/>
              </w:rPr>
              <w:t>18191.3</w:t>
            </w:r>
          </w:p>
        </w:tc>
      </w:tr>
    </w:tbl>
    <w:p w14:paraId="107460F1" w14:textId="265E1DF7" w:rsidR="00275D28" w:rsidRDefault="00275D28" w:rsidP="002C25B8">
      <w:pPr>
        <w:pStyle w:val="Heading3"/>
      </w:pPr>
    </w:p>
    <w:p w14:paraId="74220CDA" w14:textId="186E88D9" w:rsidR="2C69580C" w:rsidRDefault="2C69580C" w:rsidP="77CE381B"/>
    <w:p w14:paraId="5F16F851" w14:textId="223D129A" w:rsidR="2C69580C" w:rsidRDefault="2C69580C" w:rsidP="2C2C06BD">
      <w:pPr>
        <w:rPr>
          <w:lang w:val="en-US"/>
        </w:rPr>
      </w:pPr>
      <w:r w:rsidRPr="2C2C06BD">
        <w:rPr>
          <w:lang w:val="en-US"/>
        </w:rPr>
        <w:t>The c</w:t>
      </w:r>
      <w:r w:rsidR="00644242">
        <w:rPr>
          <w:lang w:val="en-US"/>
        </w:rPr>
        <w:t>hart and table</w:t>
      </w:r>
      <w:r w:rsidR="00D27EEA">
        <w:rPr>
          <w:lang w:val="en-US"/>
        </w:rPr>
        <w:t xml:space="preserve"> above show the average daily supply of hotel rooms for the month from January 2019 to May 2023 and the average daily demand of hotel rooms for the month from January 2019 to May 2023, noting that data </w:t>
      </w:r>
      <w:proofErr w:type="gramStart"/>
      <w:r w:rsidR="00D27EEA">
        <w:rPr>
          <w:lang w:val="en-US"/>
        </w:rPr>
        <w:t>was not collected</w:t>
      </w:r>
      <w:proofErr w:type="gramEnd"/>
      <w:r w:rsidR="00D27EEA">
        <w:rPr>
          <w:lang w:val="en-US"/>
        </w:rPr>
        <w:t xml:space="preserve"> during 2020 due to the COVID-19 Pandemic. The supply of hotel rooms </w:t>
      </w:r>
      <w:proofErr w:type="gramStart"/>
      <w:r w:rsidR="00D27EEA">
        <w:rPr>
          <w:lang w:val="en-US"/>
        </w:rPr>
        <w:t>is shown</w:t>
      </w:r>
      <w:proofErr w:type="gramEnd"/>
      <w:r w:rsidR="00D27EEA">
        <w:rPr>
          <w:lang w:val="en-US"/>
        </w:rPr>
        <w:t xml:space="preserve"> to be steadily increasing over time and is at </w:t>
      </w:r>
      <w:r w:rsidR="0026681D">
        <w:rPr>
          <w:lang w:val="en-US"/>
        </w:rPr>
        <w:t>its</w:t>
      </w:r>
      <w:r w:rsidR="00D27EEA">
        <w:rPr>
          <w:lang w:val="en-US"/>
        </w:rPr>
        <w:t xml:space="preserve"> highest level in May 2023 at around 28,000 rooms per day after starting at around 18,000 rooms per day in January 2019. The demand for hotel rooms was at around 15,000 rooms per day in January 2019. This number decreased during 2021 to as low as 8,000 rooms per day before increasing during 2022 and 2023 to around 18,000 rooms in May 2023. Demand for hotel rooms was highest in March 2023 at around 21,000 rooms per day.</w:t>
      </w:r>
    </w:p>
    <w:p w14:paraId="50365B31" w14:textId="59B1069A" w:rsidR="00275D28" w:rsidRDefault="11AEC879" w:rsidP="00275D28">
      <w:r>
        <w:t xml:space="preserve">During </w:t>
      </w:r>
      <w:r w:rsidR="0089003F">
        <w:t>May 2023, the average daily supply of hotel rooms was around 28,000 and demand was around 18,000.</w:t>
      </w:r>
    </w:p>
    <w:p w14:paraId="1EBF3D23" w14:textId="4C54AE65" w:rsidR="00275D28" w:rsidRPr="002C25B8" w:rsidRDefault="0001662F" w:rsidP="00A42358">
      <w:pPr>
        <w:pStyle w:val="Heading1"/>
        <w:rPr>
          <w:rFonts w:hint="eastAsia"/>
        </w:rPr>
      </w:pPr>
      <w:bookmarkStart w:id="7" w:name="_Toc142397442"/>
      <w:r>
        <w:t>Melbourne heats up during winter</w:t>
      </w:r>
      <w:bookmarkEnd w:id="7"/>
    </w:p>
    <w:p w14:paraId="044FDCA9" w14:textId="54846566" w:rsidR="00467930" w:rsidRDefault="0001662F" w:rsidP="001B0FCF">
      <w:r>
        <w:t xml:space="preserve">Melbourne is the place to be in winter – day and night – with visitor activity steadily increasing in 2023 and surpassing previous years. A new pattern has emerged that shows popular night-time events like the QVM Winter Night Market, RISING, and Firelight now entice crowds into the city during the day to explore and enjoy all that’s on offer, then head to the main event at night. </w:t>
      </w:r>
      <w:proofErr w:type="gramStart"/>
      <w:r>
        <w:t>And</w:t>
      </w:r>
      <w:proofErr w:type="gramEnd"/>
      <w:r>
        <w:t xml:space="preserve"> that’s great news for traders and the economy.</w:t>
      </w:r>
      <w:r w:rsidR="00467930">
        <w:rPr>
          <w:noProof/>
          <w:lang w:eastAsia="en-AU"/>
        </w:rPr>
        <w:drawing>
          <wp:inline distT="0" distB="0" distL="0" distR="0" wp14:anchorId="449D7C97" wp14:editId="1CE4DD67">
            <wp:extent cx="5391152" cy="3629025"/>
            <wp:effectExtent l="0" t="0" r="0" b="9525"/>
            <wp:docPr id="8" name="Picture 8" descr="The chart and table above show the average daily activity for June at the Town Hall (West) pedestrian sensor for 2019, 2022, and 2023. Activity is shown to be higher during June 2023 than June 2022 and June 2019. Activity at Town Hall (West) during June 2023 was 3% higher compared to June 2019 and 23% higher than June 2022.  " title="Chart 4: Average daily activit June at Town Hall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391152" cy="3629025"/>
                    </a:xfrm>
                    <a:prstGeom prst="rect">
                      <a:avLst/>
                    </a:prstGeom>
                  </pic:spPr>
                </pic:pic>
              </a:graphicData>
            </a:graphic>
          </wp:inline>
        </w:drawing>
      </w:r>
    </w:p>
    <w:p w14:paraId="6A8BE333" w14:textId="1A9AAC96" w:rsidR="00467930" w:rsidRPr="00DB649E" w:rsidRDefault="00467930" w:rsidP="00467930">
      <w:pPr>
        <w:pStyle w:val="Heading3"/>
      </w:pPr>
      <w:bookmarkStart w:id="8" w:name="_Toc142397443"/>
      <w:r>
        <w:t>Table 3 – Average daily activity for June at Town Hall (West)</w:t>
      </w:r>
      <w:bookmarkEnd w:id="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43"/>
        <w:gridCol w:w="2323"/>
      </w:tblGrid>
      <w:tr w:rsidR="005842AC" w:rsidRPr="008E376A" w14:paraId="71933A9A" w14:textId="77777777" w:rsidTr="005842AC">
        <w:trPr>
          <w:trHeight w:val="400"/>
          <w:tblHeader/>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3981A62" w14:textId="77777777" w:rsidR="005842AC" w:rsidRPr="008E376A" w:rsidRDefault="005842AC" w:rsidP="002767CF">
            <w:pPr>
              <w:pStyle w:val="TableofFigures"/>
              <w:rPr>
                <w:b/>
              </w:rPr>
            </w:pPr>
            <w:r>
              <w:rPr>
                <w:b/>
              </w:rPr>
              <w:t>Year</w:t>
            </w:r>
          </w:p>
        </w:tc>
        <w:tc>
          <w:tcPr>
            <w:tcW w:w="2323" w:type="dxa"/>
            <w:tcBorders>
              <w:top w:val="single" w:sz="4" w:space="0" w:color="auto"/>
              <w:left w:val="single" w:sz="4" w:space="0" w:color="auto"/>
              <w:bottom w:val="single" w:sz="4" w:space="0" w:color="auto"/>
              <w:right w:val="single" w:sz="4" w:space="0" w:color="auto"/>
            </w:tcBorders>
            <w:shd w:val="clear" w:color="auto" w:fill="auto"/>
            <w:hideMark/>
          </w:tcPr>
          <w:p w14:paraId="4D38E8EF" w14:textId="10086071" w:rsidR="005842AC" w:rsidRPr="008E376A" w:rsidRDefault="005842AC" w:rsidP="002767CF">
            <w:pPr>
              <w:pStyle w:val="TableofFigures"/>
              <w:rPr>
                <w:b/>
              </w:rPr>
            </w:pPr>
            <w:r>
              <w:rPr>
                <w:b/>
              </w:rPr>
              <w:t>Average daily activity</w:t>
            </w:r>
          </w:p>
        </w:tc>
      </w:tr>
      <w:tr w:rsidR="005842AC" w:rsidRPr="008E376A" w14:paraId="5DA56A05" w14:textId="77777777" w:rsidTr="005842AC">
        <w:trPr>
          <w:trHeight w:val="267"/>
        </w:trPr>
        <w:tc>
          <w:tcPr>
            <w:tcW w:w="1443" w:type="dxa"/>
            <w:tcBorders>
              <w:top w:val="single" w:sz="4" w:space="0" w:color="auto"/>
              <w:left w:val="single" w:sz="4" w:space="0" w:color="auto"/>
              <w:bottom w:val="single" w:sz="4" w:space="0" w:color="auto"/>
              <w:right w:val="single" w:sz="4" w:space="0" w:color="auto"/>
            </w:tcBorders>
            <w:hideMark/>
          </w:tcPr>
          <w:p w14:paraId="383C0ABA" w14:textId="08FC2692" w:rsidR="005842AC" w:rsidRPr="00CA6190" w:rsidRDefault="005842AC" w:rsidP="005842AC">
            <w:pPr>
              <w:pStyle w:val="TableofFigures"/>
              <w:tabs>
                <w:tab w:val="left" w:pos="915"/>
              </w:tabs>
              <w:rPr>
                <w:b/>
              </w:rPr>
            </w:pPr>
            <w:r>
              <w:rPr>
                <w:b/>
              </w:rPr>
              <w:t>2019</w:t>
            </w:r>
            <w:r>
              <w:rPr>
                <w:b/>
              </w:rPr>
              <w:tab/>
            </w:r>
          </w:p>
        </w:tc>
        <w:tc>
          <w:tcPr>
            <w:tcW w:w="2323" w:type="dxa"/>
            <w:tcBorders>
              <w:top w:val="single" w:sz="4" w:space="0" w:color="auto"/>
              <w:left w:val="single" w:sz="4" w:space="0" w:color="auto"/>
              <w:bottom w:val="single" w:sz="4" w:space="0" w:color="auto"/>
              <w:right w:val="single" w:sz="4" w:space="0" w:color="auto"/>
            </w:tcBorders>
            <w:hideMark/>
          </w:tcPr>
          <w:p w14:paraId="727440E2" w14:textId="4413BBCE" w:rsidR="005842AC" w:rsidRPr="008E376A" w:rsidRDefault="005842AC" w:rsidP="002767CF">
            <w:pPr>
              <w:pStyle w:val="TableofFigures"/>
            </w:pPr>
            <w:r>
              <w:t>32027.0</w:t>
            </w:r>
          </w:p>
        </w:tc>
      </w:tr>
      <w:tr w:rsidR="005842AC" w:rsidRPr="008E376A" w14:paraId="5D9CDF06" w14:textId="77777777" w:rsidTr="005842AC">
        <w:trPr>
          <w:trHeight w:val="267"/>
        </w:trPr>
        <w:tc>
          <w:tcPr>
            <w:tcW w:w="1443" w:type="dxa"/>
            <w:tcBorders>
              <w:top w:val="single" w:sz="4" w:space="0" w:color="auto"/>
              <w:left w:val="single" w:sz="4" w:space="0" w:color="auto"/>
              <w:bottom w:val="single" w:sz="4" w:space="0" w:color="auto"/>
              <w:right w:val="single" w:sz="4" w:space="0" w:color="auto"/>
            </w:tcBorders>
            <w:hideMark/>
          </w:tcPr>
          <w:p w14:paraId="2DE124F3" w14:textId="00F0E194" w:rsidR="005842AC" w:rsidRPr="00CA6190" w:rsidRDefault="005842AC" w:rsidP="002767CF">
            <w:pPr>
              <w:pStyle w:val="TableofFigures"/>
              <w:rPr>
                <w:b/>
              </w:rPr>
            </w:pPr>
            <w:r>
              <w:rPr>
                <w:b/>
              </w:rPr>
              <w:t>2022</w:t>
            </w:r>
          </w:p>
        </w:tc>
        <w:tc>
          <w:tcPr>
            <w:tcW w:w="2323" w:type="dxa"/>
            <w:tcBorders>
              <w:top w:val="single" w:sz="4" w:space="0" w:color="auto"/>
              <w:left w:val="single" w:sz="4" w:space="0" w:color="auto"/>
              <w:bottom w:val="single" w:sz="4" w:space="0" w:color="auto"/>
              <w:right w:val="single" w:sz="4" w:space="0" w:color="auto"/>
            </w:tcBorders>
            <w:hideMark/>
          </w:tcPr>
          <w:p w14:paraId="31533DAB" w14:textId="6B45C69E" w:rsidR="005842AC" w:rsidRPr="008E376A" w:rsidRDefault="005842AC" w:rsidP="002767CF">
            <w:pPr>
              <w:pStyle w:val="TableofFigures"/>
            </w:pPr>
            <w:r>
              <w:t>27637.5</w:t>
            </w:r>
          </w:p>
        </w:tc>
      </w:tr>
      <w:tr w:rsidR="005842AC" w:rsidRPr="00BF389F" w14:paraId="2C880CA7" w14:textId="77777777" w:rsidTr="005842AC">
        <w:trPr>
          <w:trHeight w:val="267"/>
        </w:trPr>
        <w:tc>
          <w:tcPr>
            <w:tcW w:w="1443" w:type="dxa"/>
            <w:tcBorders>
              <w:top w:val="single" w:sz="4" w:space="0" w:color="auto"/>
              <w:left w:val="single" w:sz="4" w:space="0" w:color="auto"/>
              <w:bottom w:val="single" w:sz="4" w:space="0" w:color="auto"/>
              <w:right w:val="single" w:sz="4" w:space="0" w:color="auto"/>
            </w:tcBorders>
            <w:hideMark/>
          </w:tcPr>
          <w:p w14:paraId="6624CC9C" w14:textId="300DDDE8" w:rsidR="005842AC" w:rsidRPr="00CA6190" w:rsidRDefault="005842AC" w:rsidP="002767CF">
            <w:pPr>
              <w:pStyle w:val="TableofFigures"/>
              <w:rPr>
                <w:b/>
              </w:rPr>
            </w:pPr>
            <w:r>
              <w:rPr>
                <w:b/>
              </w:rPr>
              <w:t>2023</w:t>
            </w:r>
          </w:p>
        </w:tc>
        <w:tc>
          <w:tcPr>
            <w:tcW w:w="2323" w:type="dxa"/>
            <w:tcBorders>
              <w:top w:val="single" w:sz="4" w:space="0" w:color="auto"/>
              <w:left w:val="single" w:sz="4" w:space="0" w:color="auto"/>
              <w:bottom w:val="single" w:sz="4" w:space="0" w:color="auto"/>
              <w:right w:val="single" w:sz="4" w:space="0" w:color="auto"/>
            </w:tcBorders>
            <w:hideMark/>
          </w:tcPr>
          <w:p w14:paraId="2CCA57F0" w14:textId="09BCA87B" w:rsidR="005842AC" w:rsidRPr="008E376A" w:rsidRDefault="005842AC" w:rsidP="002767CF">
            <w:pPr>
              <w:pStyle w:val="TableofFigures"/>
            </w:pPr>
            <w:r>
              <w:t>34041.3</w:t>
            </w:r>
          </w:p>
        </w:tc>
      </w:tr>
    </w:tbl>
    <w:p w14:paraId="68A96079" w14:textId="20F7084D" w:rsidR="5258F582" w:rsidRDefault="5258F582" w:rsidP="2204ED0F"/>
    <w:p w14:paraId="4006437F" w14:textId="4377970E" w:rsidR="00644242" w:rsidRDefault="00644242" w:rsidP="2204ED0F">
      <w:r w:rsidRPr="2C2C06BD">
        <w:rPr>
          <w:lang w:val="en-US"/>
        </w:rPr>
        <w:lastRenderedPageBreak/>
        <w:t>The c</w:t>
      </w:r>
      <w:r>
        <w:rPr>
          <w:lang w:val="en-US"/>
        </w:rPr>
        <w:t xml:space="preserve">hart and table above show the average daily activity for June at the Town Hall (West) pedestrian sensor for 2019, 2022, and 2023. Activity </w:t>
      </w:r>
      <w:proofErr w:type="gramStart"/>
      <w:r>
        <w:rPr>
          <w:lang w:val="en-US"/>
        </w:rPr>
        <w:t>is shown</w:t>
      </w:r>
      <w:proofErr w:type="gramEnd"/>
      <w:r>
        <w:rPr>
          <w:lang w:val="en-US"/>
        </w:rPr>
        <w:t xml:space="preserve"> to be higher during June 2023 than June 2022 and June 2019.</w:t>
      </w:r>
    </w:p>
    <w:p w14:paraId="30A2259B" w14:textId="28DD32D5" w:rsidR="00275D28" w:rsidRDefault="4B04BD46" w:rsidP="00275D28">
      <w:r>
        <w:t xml:space="preserve">Activity at </w:t>
      </w:r>
      <w:r w:rsidR="0001662F">
        <w:t>Town Hall</w:t>
      </w:r>
      <w:r>
        <w:t xml:space="preserve"> (West) </w:t>
      </w:r>
      <w:r w:rsidR="0001662F">
        <w:t>during June 2023 was 3% higher compared to June 2019 and 23% higher than June 2022.</w:t>
      </w:r>
      <w:r>
        <w:t xml:space="preserve"> </w:t>
      </w:r>
    </w:p>
    <w:p w14:paraId="6953AF3C" w14:textId="376C617A" w:rsidR="42A4DFA4" w:rsidRDefault="0001662F" w:rsidP="2204ED0F">
      <w:r>
        <w:rPr>
          <w:noProof/>
          <w:lang w:eastAsia="en-AU"/>
        </w:rPr>
        <w:drawing>
          <wp:inline distT="0" distB="0" distL="0" distR="0" wp14:anchorId="53E4581D" wp14:editId="6B1711E5">
            <wp:extent cx="6209663" cy="3189605"/>
            <wp:effectExtent l="0" t="0" r="635" b="0"/>
            <wp:docPr id="9" name="Picture 9" descr="The chart shows the average daily activity during daytime and nighttime at the Town Hall (West) pedestrian sensor during events in June 2023. Activity is shown to be higher during the day and at night when events are on compared to days without events. The event days include the Queen Victoria Market Winter Night Market, RISING, and Firelight. During events, activity at Town Hall (West) was 6% higher than non event days during daytime and 24% higher than non event days during nighttime.  " title="Chart 5: Average daily activity at Town Hall (west) during events in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6209663" cy="3189605"/>
                    </a:xfrm>
                    <a:prstGeom prst="rect">
                      <a:avLst/>
                    </a:prstGeom>
                  </pic:spPr>
                </pic:pic>
              </a:graphicData>
            </a:graphic>
          </wp:inline>
        </w:drawing>
      </w:r>
    </w:p>
    <w:p w14:paraId="16D80B56" w14:textId="31F7BA28" w:rsidR="005842AC" w:rsidRPr="00DB649E" w:rsidRDefault="005842AC" w:rsidP="005842AC">
      <w:pPr>
        <w:pStyle w:val="Heading3"/>
      </w:pPr>
      <w:bookmarkStart w:id="9" w:name="_Toc142397444"/>
      <w:r>
        <w:t>Table 4 – Average daily activity at Town Hall (West) during June events</w:t>
      </w:r>
      <w:bookmarkEnd w:id="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773"/>
        <w:gridCol w:w="1914"/>
        <w:gridCol w:w="1914"/>
      </w:tblGrid>
      <w:tr w:rsidR="005842AC" w:rsidRPr="008E376A" w14:paraId="56630E6D" w14:textId="16307A32" w:rsidTr="005842AC">
        <w:trPr>
          <w:trHeight w:val="400"/>
          <w:tblHeader/>
        </w:trPr>
        <w:tc>
          <w:tcPr>
            <w:tcW w:w="2773" w:type="dxa"/>
            <w:tcBorders>
              <w:top w:val="single" w:sz="4" w:space="0" w:color="auto"/>
              <w:left w:val="single" w:sz="4" w:space="0" w:color="auto"/>
              <w:bottom w:val="single" w:sz="4" w:space="0" w:color="auto"/>
              <w:right w:val="single" w:sz="4" w:space="0" w:color="auto"/>
            </w:tcBorders>
            <w:shd w:val="clear" w:color="auto" w:fill="auto"/>
            <w:hideMark/>
          </w:tcPr>
          <w:p w14:paraId="79379304" w14:textId="089FF3CF" w:rsidR="005842AC" w:rsidRPr="008E376A" w:rsidRDefault="005842AC" w:rsidP="002767CF">
            <w:pPr>
              <w:pStyle w:val="TableofFigures"/>
              <w:rPr>
                <w:b/>
              </w:rPr>
            </w:pPr>
            <w:r>
              <w:rPr>
                <w:b/>
              </w:rPr>
              <w:t>Time of day</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64100A2B" w14:textId="11BB6655" w:rsidR="005842AC" w:rsidRPr="008E376A" w:rsidRDefault="005842AC" w:rsidP="002767CF">
            <w:pPr>
              <w:pStyle w:val="TableofFigures"/>
              <w:rPr>
                <w:b/>
              </w:rPr>
            </w:pPr>
            <w:r>
              <w:rPr>
                <w:b/>
              </w:rPr>
              <w:t>Event day</w:t>
            </w:r>
          </w:p>
        </w:tc>
        <w:tc>
          <w:tcPr>
            <w:tcW w:w="1914" w:type="dxa"/>
            <w:tcBorders>
              <w:top w:val="single" w:sz="4" w:space="0" w:color="auto"/>
              <w:left w:val="single" w:sz="4" w:space="0" w:color="auto"/>
              <w:bottom w:val="single" w:sz="4" w:space="0" w:color="auto"/>
              <w:right w:val="single" w:sz="4" w:space="0" w:color="auto"/>
            </w:tcBorders>
          </w:tcPr>
          <w:p w14:paraId="5CCC93F9" w14:textId="2716A62A" w:rsidR="005842AC" w:rsidRDefault="005842AC" w:rsidP="002767CF">
            <w:pPr>
              <w:pStyle w:val="TableofFigures"/>
              <w:rPr>
                <w:b/>
              </w:rPr>
            </w:pPr>
            <w:proofErr w:type="spellStart"/>
            <w:r>
              <w:rPr>
                <w:b/>
              </w:rPr>
              <w:t>Non event</w:t>
            </w:r>
            <w:proofErr w:type="spellEnd"/>
            <w:r>
              <w:rPr>
                <w:b/>
              </w:rPr>
              <w:t xml:space="preserve"> day</w:t>
            </w:r>
          </w:p>
        </w:tc>
      </w:tr>
      <w:tr w:rsidR="005842AC" w:rsidRPr="008E376A" w14:paraId="3B0BE81F" w14:textId="2F55A00F" w:rsidTr="005842AC">
        <w:trPr>
          <w:trHeight w:val="267"/>
        </w:trPr>
        <w:tc>
          <w:tcPr>
            <w:tcW w:w="2773" w:type="dxa"/>
            <w:tcBorders>
              <w:top w:val="single" w:sz="4" w:space="0" w:color="auto"/>
              <w:left w:val="single" w:sz="4" w:space="0" w:color="auto"/>
              <w:bottom w:val="single" w:sz="4" w:space="0" w:color="auto"/>
              <w:right w:val="single" w:sz="4" w:space="0" w:color="auto"/>
            </w:tcBorders>
            <w:hideMark/>
          </w:tcPr>
          <w:p w14:paraId="312D60A3" w14:textId="58BA5989" w:rsidR="005842AC" w:rsidRPr="00CA6190" w:rsidRDefault="005842AC" w:rsidP="002767CF">
            <w:pPr>
              <w:pStyle w:val="TableofFigures"/>
              <w:tabs>
                <w:tab w:val="left" w:pos="915"/>
              </w:tabs>
              <w:rPr>
                <w:b/>
              </w:rPr>
            </w:pPr>
            <w:r>
              <w:rPr>
                <w:b/>
              </w:rPr>
              <w:t>Day (6:00am – 5:59 pm</w:t>
            </w:r>
            <w:r>
              <w:rPr>
                <w:b/>
              </w:rPr>
              <w:tab/>
            </w:r>
          </w:p>
        </w:tc>
        <w:tc>
          <w:tcPr>
            <w:tcW w:w="1914" w:type="dxa"/>
            <w:tcBorders>
              <w:top w:val="single" w:sz="4" w:space="0" w:color="auto"/>
              <w:left w:val="single" w:sz="4" w:space="0" w:color="auto"/>
              <w:bottom w:val="single" w:sz="4" w:space="0" w:color="auto"/>
              <w:right w:val="single" w:sz="4" w:space="0" w:color="auto"/>
            </w:tcBorders>
            <w:hideMark/>
          </w:tcPr>
          <w:p w14:paraId="34E11C6A" w14:textId="3956DB1E" w:rsidR="005842AC" w:rsidRPr="008E376A" w:rsidRDefault="005842AC" w:rsidP="002767CF">
            <w:pPr>
              <w:pStyle w:val="TableofFigures"/>
            </w:pPr>
            <w:r>
              <w:t>24739.1</w:t>
            </w:r>
          </w:p>
        </w:tc>
        <w:tc>
          <w:tcPr>
            <w:tcW w:w="1914" w:type="dxa"/>
            <w:tcBorders>
              <w:top w:val="single" w:sz="4" w:space="0" w:color="auto"/>
              <w:left w:val="single" w:sz="4" w:space="0" w:color="auto"/>
              <w:bottom w:val="single" w:sz="4" w:space="0" w:color="auto"/>
              <w:right w:val="single" w:sz="4" w:space="0" w:color="auto"/>
            </w:tcBorders>
          </w:tcPr>
          <w:p w14:paraId="02EA28CF" w14:textId="2A5AB965" w:rsidR="005842AC" w:rsidRDefault="005842AC" w:rsidP="002767CF">
            <w:pPr>
              <w:pStyle w:val="TableofFigures"/>
            </w:pPr>
            <w:r>
              <w:t>23301.9</w:t>
            </w:r>
          </w:p>
        </w:tc>
      </w:tr>
      <w:tr w:rsidR="005842AC" w:rsidRPr="008E376A" w14:paraId="6E645CBA" w14:textId="6C2C3A01" w:rsidTr="005842AC">
        <w:trPr>
          <w:trHeight w:val="267"/>
        </w:trPr>
        <w:tc>
          <w:tcPr>
            <w:tcW w:w="2773" w:type="dxa"/>
            <w:tcBorders>
              <w:top w:val="single" w:sz="4" w:space="0" w:color="auto"/>
              <w:left w:val="single" w:sz="4" w:space="0" w:color="auto"/>
              <w:bottom w:val="single" w:sz="4" w:space="0" w:color="auto"/>
              <w:right w:val="single" w:sz="4" w:space="0" w:color="auto"/>
            </w:tcBorders>
            <w:hideMark/>
          </w:tcPr>
          <w:p w14:paraId="52D4D064" w14:textId="422CD760" w:rsidR="005842AC" w:rsidRPr="00CA6190" w:rsidRDefault="005842AC" w:rsidP="002767CF">
            <w:pPr>
              <w:pStyle w:val="TableofFigures"/>
              <w:rPr>
                <w:b/>
              </w:rPr>
            </w:pPr>
            <w:r>
              <w:rPr>
                <w:b/>
              </w:rPr>
              <w:t>Night (6:00pm – 5:59am)</w:t>
            </w:r>
          </w:p>
        </w:tc>
        <w:tc>
          <w:tcPr>
            <w:tcW w:w="1914" w:type="dxa"/>
            <w:tcBorders>
              <w:top w:val="single" w:sz="4" w:space="0" w:color="auto"/>
              <w:left w:val="single" w:sz="4" w:space="0" w:color="auto"/>
              <w:bottom w:val="single" w:sz="4" w:space="0" w:color="auto"/>
              <w:right w:val="single" w:sz="4" w:space="0" w:color="auto"/>
            </w:tcBorders>
            <w:hideMark/>
          </w:tcPr>
          <w:p w14:paraId="494B7215" w14:textId="57118E0C" w:rsidR="005842AC" w:rsidRPr="008E376A" w:rsidRDefault="005842AC" w:rsidP="002767CF">
            <w:pPr>
              <w:pStyle w:val="TableofFigures"/>
            </w:pPr>
            <w:r>
              <w:t>10687.3</w:t>
            </w:r>
          </w:p>
        </w:tc>
        <w:tc>
          <w:tcPr>
            <w:tcW w:w="1914" w:type="dxa"/>
            <w:tcBorders>
              <w:top w:val="single" w:sz="4" w:space="0" w:color="auto"/>
              <w:left w:val="single" w:sz="4" w:space="0" w:color="auto"/>
              <w:bottom w:val="single" w:sz="4" w:space="0" w:color="auto"/>
              <w:right w:val="single" w:sz="4" w:space="0" w:color="auto"/>
            </w:tcBorders>
          </w:tcPr>
          <w:p w14:paraId="77BA2A07" w14:textId="5CCFCF4A" w:rsidR="005842AC" w:rsidRDefault="005842AC" w:rsidP="002767CF">
            <w:pPr>
              <w:pStyle w:val="TableofFigures"/>
            </w:pPr>
            <w:r>
              <w:t>8628.6</w:t>
            </w:r>
          </w:p>
        </w:tc>
      </w:tr>
    </w:tbl>
    <w:p w14:paraId="3FD2D8E8" w14:textId="5B9064AF" w:rsidR="005842AC" w:rsidRDefault="005842AC" w:rsidP="00275D28"/>
    <w:p w14:paraId="4D73872F" w14:textId="2D286C18" w:rsidR="00644242" w:rsidRDefault="00644242" w:rsidP="00275D28">
      <w:r w:rsidRPr="2C2C06BD">
        <w:rPr>
          <w:lang w:val="en-US"/>
        </w:rPr>
        <w:t>The c</w:t>
      </w:r>
      <w:r>
        <w:rPr>
          <w:lang w:val="en-US"/>
        </w:rPr>
        <w:t xml:space="preserve">hart and table above show the average daily activity during daytime and </w:t>
      </w:r>
      <w:r w:rsidR="0026681D">
        <w:rPr>
          <w:lang w:val="en-US"/>
        </w:rPr>
        <w:t>nighttime</w:t>
      </w:r>
      <w:r>
        <w:rPr>
          <w:lang w:val="en-US"/>
        </w:rPr>
        <w:t xml:space="preserve"> at the Town Hall (West) pedestrian sensor during events in June 2023. Activity </w:t>
      </w:r>
      <w:proofErr w:type="gramStart"/>
      <w:r>
        <w:rPr>
          <w:lang w:val="en-US"/>
        </w:rPr>
        <w:t>is shown</w:t>
      </w:r>
      <w:proofErr w:type="gramEnd"/>
      <w:r>
        <w:rPr>
          <w:lang w:val="en-US"/>
        </w:rPr>
        <w:t xml:space="preserve"> to be higher during the day and at night when events are on compared to days without events.</w:t>
      </w:r>
      <w:r w:rsidR="003C3519">
        <w:rPr>
          <w:lang w:val="en-US"/>
        </w:rPr>
        <w:t xml:space="preserve"> The event days include the QVM Winter Night Market, RISING, and Firelight.</w:t>
      </w:r>
    </w:p>
    <w:p w14:paraId="079BD507" w14:textId="5D8A68CD" w:rsidR="00275D28" w:rsidRDefault="0001662F" w:rsidP="00275D28">
      <w:r>
        <w:t xml:space="preserve">During events, activity at Town Hall (West) was 6% higher than </w:t>
      </w:r>
      <w:proofErr w:type="spellStart"/>
      <w:proofErr w:type="gramStart"/>
      <w:r>
        <w:t>non event</w:t>
      </w:r>
      <w:proofErr w:type="spellEnd"/>
      <w:proofErr w:type="gramEnd"/>
      <w:r>
        <w:t xml:space="preserve"> days during daytime and 24% higher than </w:t>
      </w:r>
      <w:proofErr w:type="spellStart"/>
      <w:r>
        <w:t>non event</w:t>
      </w:r>
      <w:proofErr w:type="spellEnd"/>
      <w:r>
        <w:t xml:space="preserve"> days during </w:t>
      </w:r>
      <w:r w:rsidR="0026681D">
        <w:rPr>
          <w:lang w:val="en-US"/>
        </w:rPr>
        <w:t>nighttime</w:t>
      </w:r>
      <w:r w:rsidR="4B04BD46">
        <w:t xml:space="preserve">. </w:t>
      </w:r>
    </w:p>
    <w:p w14:paraId="4311A952" w14:textId="63CC1A81" w:rsidR="003C3519" w:rsidRDefault="003C3519" w:rsidP="00275D28">
      <w:r>
        <w:t xml:space="preserve">Upcoming events in the City of Melbourne include Melbourne International Film Festival (3 to 20 Aug), Now or Never (17 Aug to 2 Sep), Electric Kingdom (7 to 17 Sep) and Melbourne Fashion Week (23 to 29 Oct). </w:t>
      </w:r>
    </w:p>
    <w:p w14:paraId="78F335B9" w14:textId="30D6CCA4" w:rsidR="00275D28" w:rsidRDefault="00704726" w:rsidP="00A42358">
      <w:pPr>
        <w:pStyle w:val="Heading1"/>
        <w:rPr>
          <w:rFonts w:hint="eastAsia"/>
        </w:rPr>
      </w:pPr>
      <w:bookmarkStart w:id="10" w:name="_Toc142397445"/>
      <w:r>
        <w:t>A wealth of experiences</w:t>
      </w:r>
      <w:bookmarkEnd w:id="10"/>
    </w:p>
    <w:p w14:paraId="0685FD11" w14:textId="6D199707" w:rsidR="00275D28" w:rsidRDefault="00A700E3" w:rsidP="00275D28">
      <w:pPr>
        <w:rPr>
          <w:lang w:val="en-US"/>
        </w:rPr>
      </w:pPr>
      <w:r>
        <w:rPr>
          <w:lang w:val="en-US"/>
        </w:rPr>
        <w:t xml:space="preserve">Despite many feeling the pinch of inflation and interest rate rises, Melbourne’s economy is steady, strong and </w:t>
      </w:r>
      <w:r w:rsidR="0026681D">
        <w:rPr>
          <w:lang w:val="en-US"/>
        </w:rPr>
        <w:t>resilient</w:t>
      </w:r>
      <w:r>
        <w:rPr>
          <w:lang w:val="en-US"/>
        </w:rPr>
        <w:t>. Spending in the city continues to grow and is 1.4% higher than last quarter. Residents and visitors are embracing all the city has to offer with a renewed focus on experiences including dining, bars, events, clubs and accommodation.</w:t>
      </w:r>
    </w:p>
    <w:p w14:paraId="62486C05" w14:textId="7564BA56" w:rsidR="00BE6801" w:rsidRDefault="00717F0F" w:rsidP="2C2C06BD">
      <w:r>
        <w:rPr>
          <w:noProof/>
          <w:lang w:eastAsia="en-AU"/>
        </w:rPr>
        <w:lastRenderedPageBreak/>
        <w:drawing>
          <wp:inline distT="0" distB="0" distL="0" distR="0" wp14:anchorId="6958C2A1" wp14:editId="6A8C9575">
            <wp:extent cx="6209663" cy="1760855"/>
            <wp:effectExtent l="0" t="0" r="635" b="0"/>
            <wp:docPr id="10" name="Picture 10" descr="This shows the average daily spend within the City of Melbourne for Quarter 1 (January, February and March) and Quarter 2 (April, May and June) adjusted for inflation for 2019, 2022 and 2023. Across all three years spend is shown to be lower in Quarter 1 than Quarter 2, with Quarter 2 spend slightly higher in 2019 and 2023, and much higher in 2022. Quarter 2 spend is very similar across all three years with 2023 Quarter 2 spend slightly higher than Quarter 2 spend in 2019 and slightly lower than Quarter 2 spend in 2023. " title="Chart 6: Average adjusted daily spend by quarter i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6209663" cy="1760855"/>
                    </a:xfrm>
                    <a:prstGeom prst="rect">
                      <a:avLst/>
                    </a:prstGeom>
                  </pic:spPr>
                </pic:pic>
              </a:graphicData>
            </a:graphic>
          </wp:inline>
        </w:drawing>
      </w:r>
    </w:p>
    <w:p w14:paraId="6F46F160" w14:textId="22651726" w:rsidR="00717F0F" w:rsidRPr="00DB649E" w:rsidRDefault="00717F0F" w:rsidP="00717F0F">
      <w:pPr>
        <w:pStyle w:val="Heading3"/>
      </w:pPr>
      <w:bookmarkStart w:id="11" w:name="_Toc142397446"/>
      <w:r>
        <w:t>Table 5 – Average adjusted daily spend by quarter, City of Melbourne</w:t>
      </w:r>
      <w:bookmarkEnd w:id="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14"/>
        <w:gridCol w:w="1984"/>
        <w:gridCol w:w="1985"/>
      </w:tblGrid>
      <w:tr w:rsidR="00717F0F" w:rsidRPr="008E376A" w14:paraId="2F594A47" w14:textId="77777777" w:rsidTr="00717F0F">
        <w:trPr>
          <w:trHeight w:val="400"/>
          <w:tblHeader/>
        </w:trPr>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0FA6D1E2" w14:textId="6DDE9CFF" w:rsidR="00717F0F" w:rsidRPr="008E376A" w:rsidRDefault="00717F0F" w:rsidP="002767CF">
            <w:pPr>
              <w:pStyle w:val="TableofFigures"/>
              <w:rPr>
                <w:b/>
              </w:rPr>
            </w:pPr>
            <w:r>
              <w:rPr>
                <w:b/>
              </w:rPr>
              <w:t>Year</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0DCE950F" w14:textId="5AE676CC" w:rsidR="00717F0F" w:rsidRPr="008E376A" w:rsidRDefault="00717F0F" w:rsidP="002767CF">
            <w:pPr>
              <w:pStyle w:val="TableofFigures"/>
              <w:rPr>
                <w:b/>
              </w:rPr>
            </w:pPr>
            <w:r>
              <w:rPr>
                <w:b/>
              </w:rPr>
              <w:t>Quarter 1</w:t>
            </w:r>
          </w:p>
        </w:tc>
        <w:tc>
          <w:tcPr>
            <w:tcW w:w="1985" w:type="dxa"/>
            <w:tcBorders>
              <w:top w:val="single" w:sz="4" w:space="0" w:color="auto"/>
              <w:left w:val="single" w:sz="4" w:space="0" w:color="auto"/>
              <w:bottom w:val="single" w:sz="4" w:space="0" w:color="auto"/>
              <w:right w:val="single" w:sz="4" w:space="0" w:color="auto"/>
            </w:tcBorders>
          </w:tcPr>
          <w:p w14:paraId="49391EA4" w14:textId="08826065" w:rsidR="00717F0F" w:rsidRDefault="00717F0F" w:rsidP="002767CF">
            <w:pPr>
              <w:pStyle w:val="TableofFigures"/>
              <w:rPr>
                <w:b/>
              </w:rPr>
            </w:pPr>
            <w:r>
              <w:rPr>
                <w:b/>
              </w:rPr>
              <w:t>Quarter 2</w:t>
            </w:r>
          </w:p>
        </w:tc>
      </w:tr>
      <w:tr w:rsidR="00717F0F" w:rsidRPr="008E376A" w14:paraId="3B0AD309" w14:textId="77777777" w:rsidTr="00717F0F">
        <w:trPr>
          <w:trHeight w:val="267"/>
        </w:trPr>
        <w:tc>
          <w:tcPr>
            <w:tcW w:w="1214" w:type="dxa"/>
            <w:tcBorders>
              <w:top w:val="single" w:sz="4" w:space="0" w:color="auto"/>
              <w:left w:val="single" w:sz="4" w:space="0" w:color="auto"/>
              <w:bottom w:val="single" w:sz="4" w:space="0" w:color="auto"/>
              <w:right w:val="single" w:sz="4" w:space="0" w:color="auto"/>
            </w:tcBorders>
            <w:hideMark/>
          </w:tcPr>
          <w:p w14:paraId="0F835153" w14:textId="21C6E8AF" w:rsidR="00717F0F" w:rsidRPr="00CA6190" w:rsidRDefault="00717F0F" w:rsidP="002767CF">
            <w:pPr>
              <w:pStyle w:val="TableofFigures"/>
              <w:tabs>
                <w:tab w:val="left" w:pos="915"/>
              </w:tabs>
              <w:rPr>
                <w:b/>
              </w:rPr>
            </w:pPr>
            <w:r>
              <w:rPr>
                <w:b/>
              </w:rPr>
              <w:t>2019</w:t>
            </w:r>
          </w:p>
        </w:tc>
        <w:tc>
          <w:tcPr>
            <w:tcW w:w="1984" w:type="dxa"/>
            <w:tcBorders>
              <w:top w:val="single" w:sz="4" w:space="0" w:color="auto"/>
              <w:left w:val="single" w:sz="4" w:space="0" w:color="auto"/>
              <w:bottom w:val="single" w:sz="4" w:space="0" w:color="auto"/>
              <w:right w:val="single" w:sz="4" w:space="0" w:color="auto"/>
            </w:tcBorders>
            <w:hideMark/>
          </w:tcPr>
          <w:p w14:paraId="3BD3943A" w14:textId="2A5A9697" w:rsidR="00717F0F" w:rsidRPr="008E376A" w:rsidRDefault="009930BE" w:rsidP="002767CF">
            <w:pPr>
              <w:pStyle w:val="TableofFigures"/>
            </w:pPr>
            <w:r>
              <w:t>$25142748</w:t>
            </w:r>
          </w:p>
        </w:tc>
        <w:tc>
          <w:tcPr>
            <w:tcW w:w="1985" w:type="dxa"/>
            <w:tcBorders>
              <w:top w:val="single" w:sz="4" w:space="0" w:color="auto"/>
              <w:left w:val="single" w:sz="4" w:space="0" w:color="auto"/>
              <w:bottom w:val="single" w:sz="4" w:space="0" w:color="auto"/>
              <w:right w:val="single" w:sz="4" w:space="0" w:color="auto"/>
            </w:tcBorders>
          </w:tcPr>
          <w:p w14:paraId="3EEA3BF4" w14:textId="6C6A7D75" w:rsidR="00717F0F" w:rsidRDefault="009930BE" w:rsidP="002767CF">
            <w:pPr>
              <w:pStyle w:val="TableofFigures"/>
            </w:pPr>
            <w:r>
              <w:t>$25857089</w:t>
            </w:r>
          </w:p>
        </w:tc>
      </w:tr>
      <w:tr w:rsidR="00717F0F" w:rsidRPr="008E376A" w14:paraId="6C87FF61" w14:textId="77777777" w:rsidTr="00717F0F">
        <w:trPr>
          <w:trHeight w:val="267"/>
        </w:trPr>
        <w:tc>
          <w:tcPr>
            <w:tcW w:w="1214" w:type="dxa"/>
            <w:tcBorders>
              <w:top w:val="single" w:sz="4" w:space="0" w:color="auto"/>
              <w:left w:val="single" w:sz="4" w:space="0" w:color="auto"/>
              <w:bottom w:val="single" w:sz="4" w:space="0" w:color="auto"/>
              <w:right w:val="single" w:sz="4" w:space="0" w:color="auto"/>
            </w:tcBorders>
            <w:hideMark/>
          </w:tcPr>
          <w:p w14:paraId="294EE07B" w14:textId="3E82FFAF" w:rsidR="00717F0F" w:rsidRPr="00CA6190" w:rsidRDefault="00717F0F" w:rsidP="002767CF">
            <w:pPr>
              <w:pStyle w:val="TableofFigures"/>
              <w:rPr>
                <w:b/>
              </w:rPr>
            </w:pPr>
            <w:r>
              <w:rPr>
                <w:b/>
              </w:rPr>
              <w:t>2022</w:t>
            </w:r>
          </w:p>
        </w:tc>
        <w:tc>
          <w:tcPr>
            <w:tcW w:w="1984" w:type="dxa"/>
            <w:tcBorders>
              <w:top w:val="single" w:sz="4" w:space="0" w:color="auto"/>
              <w:left w:val="single" w:sz="4" w:space="0" w:color="auto"/>
              <w:bottom w:val="single" w:sz="4" w:space="0" w:color="auto"/>
              <w:right w:val="single" w:sz="4" w:space="0" w:color="auto"/>
            </w:tcBorders>
            <w:hideMark/>
          </w:tcPr>
          <w:p w14:paraId="52068ADA" w14:textId="1AB973C9" w:rsidR="00717F0F" w:rsidRPr="008E376A" w:rsidRDefault="009930BE" w:rsidP="002767CF">
            <w:pPr>
              <w:pStyle w:val="TableofFigures"/>
            </w:pPr>
            <w:r>
              <w:t>$21064572</w:t>
            </w:r>
          </w:p>
        </w:tc>
        <w:tc>
          <w:tcPr>
            <w:tcW w:w="1985" w:type="dxa"/>
            <w:tcBorders>
              <w:top w:val="single" w:sz="4" w:space="0" w:color="auto"/>
              <w:left w:val="single" w:sz="4" w:space="0" w:color="auto"/>
              <w:bottom w:val="single" w:sz="4" w:space="0" w:color="auto"/>
              <w:right w:val="single" w:sz="4" w:space="0" w:color="auto"/>
            </w:tcBorders>
          </w:tcPr>
          <w:p w14:paraId="6009A190" w14:textId="3E8AF37C" w:rsidR="00717F0F" w:rsidRDefault="009930BE" w:rsidP="002767CF">
            <w:pPr>
              <w:pStyle w:val="TableofFigures"/>
            </w:pPr>
            <w:r>
              <w:t>$26404205</w:t>
            </w:r>
          </w:p>
        </w:tc>
      </w:tr>
      <w:tr w:rsidR="00717F0F" w:rsidRPr="008E376A" w14:paraId="441A8F93" w14:textId="77777777" w:rsidTr="00717F0F">
        <w:trPr>
          <w:trHeight w:val="267"/>
        </w:trPr>
        <w:tc>
          <w:tcPr>
            <w:tcW w:w="1214" w:type="dxa"/>
            <w:tcBorders>
              <w:top w:val="single" w:sz="4" w:space="0" w:color="auto"/>
              <w:left w:val="single" w:sz="4" w:space="0" w:color="auto"/>
              <w:bottom w:val="single" w:sz="4" w:space="0" w:color="auto"/>
              <w:right w:val="single" w:sz="4" w:space="0" w:color="auto"/>
            </w:tcBorders>
          </w:tcPr>
          <w:p w14:paraId="25E203AD" w14:textId="0D190DD5" w:rsidR="00717F0F" w:rsidRDefault="00717F0F" w:rsidP="002767CF">
            <w:pPr>
              <w:pStyle w:val="TableofFigures"/>
              <w:rPr>
                <w:b/>
              </w:rPr>
            </w:pPr>
            <w:r>
              <w:rPr>
                <w:b/>
              </w:rPr>
              <w:t>2023</w:t>
            </w:r>
          </w:p>
        </w:tc>
        <w:tc>
          <w:tcPr>
            <w:tcW w:w="1984" w:type="dxa"/>
            <w:tcBorders>
              <w:top w:val="single" w:sz="4" w:space="0" w:color="auto"/>
              <w:left w:val="single" w:sz="4" w:space="0" w:color="auto"/>
              <w:bottom w:val="single" w:sz="4" w:space="0" w:color="auto"/>
              <w:right w:val="single" w:sz="4" w:space="0" w:color="auto"/>
            </w:tcBorders>
          </w:tcPr>
          <w:p w14:paraId="6AB3D72A" w14:textId="2D697303" w:rsidR="00717F0F" w:rsidRDefault="009930BE" w:rsidP="002767CF">
            <w:pPr>
              <w:pStyle w:val="TableofFigures"/>
            </w:pPr>
            <w:r>
              <w:t>$25880954</w:t>
            </w:r>
          </w:p>
        </w:tc>
        <w:tc>
          <w:tcPr>
            <w:tcW w:w="1985" w:type="dxa"/>
            <w:tcBorders>
              <w:top w:val="single" w:sz="4" w:space="0" w:color="auto"/>
              <w:left w:val="single" w:sz="4" w:space="0" w:color="auto"/>
              <w:bottom w:val="single" w:sz="4" w:space="0" w:color="auto"/>
              <w:right w:val="single" w:sz="4" w:space="0" w:color="auto"/>
            </w:tcBorders>
          </w:tcPr>
          <w:p w14:paraId="105265DD" w14:textId="324D5F86" w:rsidR="00717F0F" w:rsidRDefault="009930BE" w:rsidP="002767CF">
            <w:pPr>
              <w:pStyle w:val="TableofFigures"/>
            </w:pPr>
            <w:r>
              <w:t>$26236326</w:t>
            </w:r>
          </w:p>
        </w:tc>
      </w:tr>
    </w:tbl>
    <w:p w14:paraId="0D6D11D0" w14:textId="5D7CC607" w:rsidR="00717F0F" w:rsidRDefault="00717F0F" w:rsidP="2C2C06BD"/>
    <w:p w14:paraId="56D1D50D" w14:textId="36636D4A" w:rsidR="001164C3" w:rsidRDefault="001164C3" w:rsidP="001164C3">
      <w:bookmarkStart w:id="12" w:name="_Toc142397447"/>
      <w:r w:rsidRPr="2C2C06BD">
        <w:rPr>
          <w:lang w:val="en-US"/>
        </w:rPr>
        <w:t>The c</w:t>
      </w:r>
      <w:r>
        <w:rPr>
          <w:lang w:val="en-US"/>
        </w:rPr>
        <w:t>hart and table above show the average daily spend within the City of Melbourne for Quarter 1 (January, February and March) and Quarter 2 (April, May and June) adjusted for inflation for 2019, 2022 and 2023. Across all three years spend is shown to be lower in Quarter 1 than Quarter 2, with Quarter 2 spend slightly higher in 2019 and 2023, and much higher in 2022. Quarter 2 spend is very similar across all three years with 2023 Quarter 2 spend slightly higher than Quarter 2 spend in 2019 and slightly lower than Quarter 2 spend in 2023.</w:t>
      </w:r>
    </w:p>
    <w:p w14:paraId="430044E2" w14:textId="2417B5B7" w:rsidR="009930BE" w:rsidRPr="00DB649E" w:rsidRDefault="009930BE" w:rsidP="009930BE">
      <w:pPr>
        <w:pStyle w:val="Heading3"/>
      </w:pPr>
      <w:r>
        <w:rPr>
          <w:noProof/>
          <w:lang w:val="en-AU" w:eastAsia="en-AU"/>
        </w:rPr>
        <w:drawing>
          <wp:inline distT="0" distB="0" distL="0" distR="0" wp14:anchorId="73DAEDB9" wp14:editId="6D415E84">
            <wp:extent cx="6209663" cy="2815590"/>
            <wp:effectExtent l="0" t="0" r="635" b="3810"/>
            <wp:docPr id="11" name="Picture 11" descr="This chart is adjusted for inlfation within the City of Melbourne between Quarter 2 in 2019 and Quarter 2 in 2023 for different spending categories. The categories Hotels &amp; Accommodation is shown to have the largest increase compared to all others and is 44% higher in Quarter 2 2023 than Quarter 2 2019. The categories Entertainment, Grocery Stores &amp; Supermarkets, Convenience Stores and Specialised &amp; Luxury Goods are all up between 11% and 16%. The categories Shoes &amp; Clothing, Bars &amp; Clubs and Dining are up between 3% and 8%. The categories Other, Personal Services and Vehicles, Freight, &amp; Other Transport are down. During Quarter 2 2023, average daily spend adjusted for inflation was around $1.6 million for Hotels &amp; Accommodation, $8.8 million for Dining, $1.6 million for Bars &amp; Clubs and totaled $2.4 billion for the quarter. " title="Chart 7: Percentage chnage quarter 2 2019 to quarter 2 2023 i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6209663" cy="2815590"/>
                    </a:xfrm>
                    <a:prstGeom prst="rect">
                      <a:avLst/>
                    </a:prstGeom>
                  </pic:spPr>
                </pic:pic>
              </a:graphicData>
            </a:graphic>
          </wp:inline>
        </w:drawing>
      </w:r>
      <w:r>
        <w:t xml:space="preserve">Table 6 – </w:t>
      </w:r>
      <w:r w:rsidR="001B0FCF">
        <w:t>Percentage change Q2 2019 to Q2 2023</w:t>
      </w:r>
      <w:r w:rsidR="0032546A">
        <w:t>*</w:t>
      </w:r>
      <w:r w:rsidR="001B0FCF">
        <w:t>, City of Melbourne</w:t>
      </w:r>
      <w:bookmarkEnd w:id="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985"/>
      </w:tblGrid>
      <w:tr w:rsidR="009930BE" w:rsidRPr="008E376A" w14:paraId="44CD9981" w14:textId="77777777" w:rsidTr="001B0FCF">
        <w:trPr>
          <w:trHeight w:val="400"/>
          <w:tblHeader/>
        </w:trPr>
        <w:tc>
          <w:tcPr>
            <w:tcW w:w="4049" w:type="dxa"/>
            <w:tcBorders>
              <w:top w:val="single" w:sz="4" w:space="0" w:color="auto"/>
              <w:left w:val="single" w:sz="4" w:space="0" w:color="auto"/>
              <w:bottom w:val="single" w:sz="4" w:space="0" w:color="auto"/>
              <w:right w:val="single" w:sz="4" w:space="0" w:color="auto"/>
            </w:tcBorders>
            <w:shd w:val="clear" w:color="auto" w:fill="auto"/>
            <w:hideMark/>
          </w:tcPr>
          <w:p w14:paraId="7C5F6F16" w14:textId="7F4895E0" w:rsidR="009930BE" w:rsidRPr="008E376A" w:rsidRDefault="001B0FCF" w:rsidP="002767CF">
            <w:pPr>
              <w:pStyle w:val="TableofFigures"/>
              <w:rPr>
                <w:b/>
              </w:rPr>
            </w:pPr>
            <w:r>
              <w:rPr>
                <w:b/>
              </w:rPr>
              <w:t>Spending Category</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43588CA" w14:textId="366EEA02" w:rsidR="009930BE" w:rsidRPr="008E376A" w:rsidRDefault="001B0FCF" w:rsidP="002767CF">
            <w:pPr>
              <w:pStyle w:val="TableofFigures"/>
              <w:rPr>
                <w:b/>
              </w:rPr>
            </w:pPr>
            <w:r>
              <w:rPr>
                <w:b/>
              </w:rPr>
              <w:t>Percentage Change</w:t>
            </w:r>
          </w:p>
        </w:tc>
      </w:tr>
      <w:tr w:rsidR="009930BE" w:rsidRPr="008E376A" w14:paraId="72D34314"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hideMark/>
          </w:tcPr>
          <w:p w14:paraId="1E86C7E7" w14:textId="3F4E7E4E" w:rsidR="009930BE" w:rsidRPr="00CA6190" w:rsidRDefault="001B0FCF" w:rsidP="002767CF">
            <w:pPr>
              <w:pStyle w:val="TableofFigures"/>
              <w:tabs>
                <w:tab w:val="left" w:pos="915"/>
              </w:tabs>
              <w:rPr>
                <w:b/>
              </w:rPr>
            </w:pPr>
            <w:r>
              <w:rPr>
                <w:b/>
              </w:rPr>
              <w:t xml:space="preserve">Hotels &amp; </w:t>
            </w:r>
            <w:r w:rsidR="0026681D">
              <w:rPr>
                <w:b/>
              </w:rPr>
              <w:t>Accommodation</w:t>
            </w:r>
          </w:p>
        </w:tc>
        <w:tc>
          <w:tcPr>
            <w:tcW w:w="1985" w:type="dxa"/>
            <w:tcBorders>
              <w:top w:val="single" w:sz="4" w:space="0" w:color="auto"/>
              <w:left w:val="single" w:sz="4" w:space="0" w:color="auto"/>
              <w:bottom w:val="single" w:sz="4" w:space="0" w:color="auto"/>
              <w:right w:val="single" w:sz="4" w:space="0" w:color="auto"/>
            </w:tcBorders>
            <w:hideMark/>
          </w:tcPr>
          <w:p w14:paraId="33AF9AD2" w14:textId="0C96E79C" w:rsidR="009930BE" w:rsidRPr="008E376A" w:rsidRDefault="001B0FCF" w:rsidP="002767CF">
            <w:pPr>
              <w:pStyle w:val="TableofFigures"/>
            </w:pPr>
            <w:r>
              <w:t>44%</w:t>
            </w:r>
          </w:p>
        </w:tc>
      </w:tr>
      <w:tr w:rsidR="009930BE" w:rsidRPr="008E376A" w14:paraId="268DF568"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hideMark/>
          </w:tcPr>
          <w:p w14:paraId="2DC13979" w14:textId="23F32990" w:rsidR="009930BE" w:rsidRPr="00CA6190" w:rsidRDefault="001B0FCF" w:rsidP="002767CF">
            <w:pPr>
              <w:pStyle w:val="TableofFigures"/>
              <w:rPr>
                <w:b/>
              </w:rPr>
            </w:pPr>
            <w:r>
              <w:rPr>
                <w:b/>
              </w:rPr>
              <w:t>Entertainment</w:t>
            </w:r>
          </w:p>
        </w:tc>
        <w:tc>
          <w:tcPr>
            <w:tcW w:w="1985" w:type="dxa"/>
            <w:tcBorders>
              <w:top w:val="single" w:sz="4" w:space="0" w:color="auto"/>
              <w:left w:val="single" w:sz="4" w:space="0" w:color="auto"/>
              <w:bottom w:val="single" w:sz="4" w:space="0" w:color="auto"/>
              <w:right w:val="single" w:sz="4" w:space="0" w:color="auto"/>
            </w:tcBorders>
            <w:hideMark/>
          </w:tcPr>
          <w:p w14:paraId="68C69D50" w14:textId="5043E9CC" w:rsidR="009930BE" w:rsidRPr="008E376A" w:rsidRDefault="001B0FCF" w:rsidP="002767CF">
            <w:pPr>
              <w:pStyle w:val="TableofFigures"/>
            </w:pPr>
            <w:r>
              <w:t>16%</w:t>
            </w:r>
          </w:p>
        </w:tc>
      </w:tr>
      <w:tr w:rsidR="009930BE" w:rsidRPr="00BF389F" w14:paraId="7FD1FD4D"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hideMark/>
          </w:tcPr>
          <w:p w14:paraId="2F0C6D7A" w14:textId="7EF599DA" w:rsidR="009930BE" w:rsidRPr="00CA6190" w:rsidRDefault="001B0FCF" w:rsidP="002767CF">
            <w:pPr>
              <w:pStyle w:val="TableofFigures"/>
              <w:rPr>
                <w:b/>
              </w:rPr>
            </w:pPr>
            <w:r>
              <w:rPr>
                <w:b/>
              </w:rPr>
              <w:t>Grocery Stores &amp; Supermarkets</w:t>
            </w:r>
          </w:p>
        </w:tc>
        <w:tc>
          <w:tcPr>
            <w:tcW w:w="1985" w:type="dxa"/>
            <w:tcBorders>
              <w:top w:val="single" w:sz="4" w:space="0" w:color="auto"/>
              <w:left w:val="single" w:sz="4" w:space="0" w:color="auto"/>
              <w:bottom w:val="single" w:sz="4" w:space="0" w:color="auto"/>
              <w:right w:val="single" w:sz="4" w:space="0" w:color="auto"/>
            </w:tcBorders>
            <w:hideMark/>
          </w:tcPr>
          <w:p w14:paraId="0AD09ADE" w14:textId="7A9531F5" w:rsidR="009930BE" w:rsidRPr="008E376A" w:rsidRDefault="001B0FCF" w:rsidP="002767CF">
            <w:pPr>
              <w:pStyle w:val="TableofFigures"/>
            </w:pPr>
            <w:r>
              <w:t>15%</w:t>
            </w:r>
          </w:p>
        </w:tc>
      </w:tr>
      <w:tr w:rsidR="001B0FCF" w:rsidRPr="00BF389F" w14:paraId="009CD4D7"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110A1F4C" w14:textId="209E6650" w:rsidR="001B0FCF" w:rsidRDefault="001B0FCF" w:rsidP="002767CF">
            <w:pPr>
              <w:pStyle w:val="TableofFigures"/>
              <w:rPr>
                <w:b/>
              </w:rPr>
            </w:pPr>
            <w:r>
              <w:rPr>
                <w:b/>
              </w:rPr>
              <w:lastRenderedPageBreak/>
              <w:t>Convenience Stores</w:t>
            </w:r>
          </w:p>
        </w:tc>
        <w:tc>
          <w:tcPr>
            <w:tcW w:w="1985" w:type="dxa"/>
            <w:tcBorders>
              <w:top w:val="single" w:sz="4" w:space="0" w:color="auto"/>
              <w:left w:val="single" w:sz="4" w:space="0" w:color="auto"/>
              <w:bottom w:val="single" w:sz="4" w:space="0" w:color="auto"/>
              <w:right w:val="single" w:sz="4" w:space="0" w:color="auto"/>
            </w:tcBorders>
          </w:tcPr>
          <w:p w14:paraId="4C5F5716" w14:textId="3CFA635D" w:rsidR="001B0FCF" w:rsidRDefault="001B0FCF" w:rsidP="002767CF">
            <w:pPr>
              <w:pStyle w:val="TableofFigures"/>
            </w:pPr>
            <w:r>
              <w:t>12%</w:t>
            </w:r>
          </w:p>
        </w:tc>
      </w:tr>
      <w:tr w:rsidR="001B0FCF" w:rsidRPr="00BF389F" w14:paraId="2C0A1967"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1B9DFA86" w14:textId="31C59D02" w:rsidR="001B0FCF" w:rsidRDefault="001B0FCF" w:rsidP="002767CF">
            <w:pPr>
              <w:pStyle w:val="TableofFigures"/>
              <w:rPr>
                <w:b/>
              </w:rPr>
            </w:pPr>
            <w:proofErr w:type="spellStart"/>
            <w:r>
              <w:rPr>
                <w:b/>
              </w:rPr>
              <w:t>Specialised</w:t>
            </w:r>
            <w:proofErr w:type="spellEnd"/>
            <w:r>
              <w:rPr>
                <w:b/>
              </w:rPr>
              <w:t xml:space="preserve"> &amp; Luxury Goods</w:t>
            </w:r>
          </w:p>
        </w:tc>
        <w:tc>
          <w:tcPr>
            <w:tcW w:w="1985" w:type="dxa"/>
            <w:tcBorders>
              <w:top w:val="single" w:sz="4" w:space="0" w:color="auto"/>
              <w:left w:val="single" w:sz="4" w:space="0" w:color="auto"/>
              <w:bottom w:val="single" w:sz="4" w:space="0" w:color="auto"/>
              <w:right w:val="single" w:sz="4" w:space="0" w:color="auto"/>
            </w:tcBorders>
          </w:tcPr>
          <w:p w14:paraId="16A0A5EC" w14:textId="77F34D7E" w:rsidR="001B0FCF" w:rsidRDefault="001B0FCF" w:rsidP="002767CF">
            <w:pPr>
              <w:pStyle w:val="TableofFigures"/>
            </w:pPr>
            <w:r>
              <w:t>11%</w:t>
            </w:r>
          </w:p>
        </w:tc>
      </w:tr>
      <w:tr w:rsidR="001B0FCF" w:rsidRPr="00BF389F" w14:paraId="1B5E6D6A"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1A7D4B44" w14:textId="539E2832" w:rsidR="001B0FCF" w:rsidRDefault="001B0FCF" w:rsidP="002767CF">
            <w:pPr>
              <w:pStyle w:val="TableofFigures"/>
              <w:rPr>
                <w:b/>
              </w:rPr>
            </w:pPr>
            <w:r>
              <w:rPr>
                <w:b/>
              </w:rPr>
              <w:t>Shoes &amp; Clothing</w:t>
            </w:r>
          </w:p>
        </w:tc>
        <w:tc>
          <w:tcPr>
            <w:tcW w:w="1985" w:type="dxa"/>
            <w:tcBorders>
              <w:top w:val="single" w:sz="4" w:space="0" w:color="auto"/>
              <w:left w:val="single" w:sz="4" w:space="0" w:color="auto"/>
              <w:bottom w:val="single" w:sz="4" w:space="0" w:color="auto"/>
              <w:right w:val="single" w:sz="4" w:space="0" w:color="auto"/>
            </w:tcBorders>
          </w:tcPr>
          <w:p w14:paraId="53BD2C6E" w14:textId="6ED47F9B" w:rsidR="001B0FCF" w:rsidRDefault="001B0FCF" w:rsidP="002767CF">
            <w:pPr>
              <w:pStyle w:val="TableofFigures"/>
            </w:pPr>
            <w:r>
              <w:t>8%</w:t>
            </w:r>
          </w:p>
        </w:tc>
      </w:tr>
      <w:tr w:rsidR="001B0FCF" w:rsidRPr="00BF389F" w14:paraId="51F91F21"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5F1A3A60" w14:textId="12E69F72" w:rsidR="001B0FCF" w:rsidRDefault="001B0FCF" w:rsidP="002767CF">
            <w:pPr>
              <w:pStyle w:val="TableofFigures"/>
              <w:rPr>
                <w:b/>
              </w:rPr>
            </w:pPr>
            <w:r>
              <w:rPr>
                <w:b/>
              </w:rPr>
              <w:t>Bars &amp; Clubs</w:t>
            </w:r>
          </w:p>
        </w:tc>
        <w:tc>
          <w:tcPr>
            <w:tcW w:w="1985" w:type="dxa"/>
            <w:tcBorders>
              <w:top w:val="single" w:sz="4" w:space="0" w:color="auto"/>
              <w:left w:val="single" w:sz="4" w:space="0" w:color="auto"/>
              <w:bottom w:val="single" w:sz="4" w:space="0" w:color="auto"/>
              <w:right w:val="single" w:sz="4" w:space="0" w:color="auto"/>
            </w:tcBorders>
          </w:tcPr>
          <w:p w14:paraId="0C3E6D70" w14:textId="7E74E86F" w:rsidR="001B0FCF" w:rsidRDefault="001B0FCF" w:rsidP="002767CF">
            <w:pPr>
              <w:pStyle w:val="TableofFigures"/>
            </w:pPr>
            <w:r>
              <w:t>5%</w:t>
            </w:r>
          </w:p>
        </w:tc>
      </w:tr>
      <w:tr w:rsidR="001B0FCF" w:rsidRPr="00BF389F" w14:paraId="28D72064"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5D2C0CBA" w14:textId="0D73498E" w:rsidR="001B0FCF" w:rsidRDefault="001B0FCF" w:rsidP="002767CF">
            <w:pPr>
              <w:pStyle w:val="TableofFigures"/>
              <w:rPr>
                <w:b/>
              </w:rPr>
            </w:pPr>
            <w:r>
              <w:rPr>
                <w:b/>
              </w:rPr>
              <w:t>Dining</w:t>
            </w:r>
          </w:p>
        </w:tc>
        <w:tc>
          <w:tcPr>
            <w:tcW w:w="1985" w:type="dxa"/>
            <w:tcBorders>
              <w:top w:val="single" w:sz="4" w:space="0" w:color="auto"/>
              <w:left w:val="single" w:sz="4" w:space="0" w:color="auto"/>
              <w:bottom w:val="single" w:sz="4" w:space="0" w:color="auto"/>
              <w:right w:val="single" w:sz="4" w:space="0" w:color="auto"/>
            </w:tcBorders>
          </w:tcPr>
          <w:p w14:paraId="7DF1304E" w14:textId="0DFA183C" w:rsidR="001B0FCF" w:rsidRDefault="001B0FCF" w:rsidP="002767CF">
            <w:pPr>
              <w:pStyle w:val="TableofFigures"/>
            </w:pPr>
            <w:r>
              <w:t>3%</w:t>
            </w:r>
          </w:p>
        </w:tc>
      </w:tr>
      <w:tr w:rsidR="001B0FCF" w:rsidRPr="00BF389F" w14:paraId="653877C7"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60026023" w14:textId="736F809C" w:rsidR="001B0FCF" w:rsidRDefault="001B0FCF" w:rsidP="002767CF">
            <w:pPr>
              <w:pStyle w:val="TableofFigures"/>
              <w:rPr>
                <w:b/>
              </w:rPr>
            </w:pPr>
            <w:r>
              <w:rPr>
                <w:b/>
              </w:rPr>
              <w:t>Other</w:t>
            </w:r>
          </w:p>
        </w:tc>
        <w:tc>
          <w:tcPr>
            <w:tcW w:w="1985" w:type="dxa"/>
            <w:tcBorders>
              <w:top w:val="single" w:sz="4" w:space="0" w:color="auto"/>
              <w:left w:val="single" w:sz="4" w:space="0" w:color="auto"/>
              <w:bottom w:val="single" w:sz="4" w:space="0" w:color="auto"/>
              <w:right w:val="single" w:sz="4" w:space="0" w:color="auto"/>
            </w:tcBorders>
          </w:tcPr>
          <w:p w14:paraId="562F0750" w14:textId="1770F1E5" w:rsidR="001B0FCF" w:rsidRDefault="001B0FCF" w:rsidP="002767CF">
            <w:pPr>
              <w:pStyle w:val="TableofFigures"/>
            </w:pPr>
            <w:r>
              <w:t>-1%</w:t>
            </w:r>
          </w:p>
        </w:tc>
      </w:tr>
      <w:tr w:rsidR="001B0FCF" w:rsidRPr="00BF389F" w14:paraId="411A8C8B"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25341852" w14:textId="70787D59" w:rsidR="001B0FCF" w:rsidRDefault="001B0FCF" w:rsidP="002767CF">
            <w:pPr>
              <w:pStyle w:val="TableofFigures"/>
              <w:rPr>
                <w:b/>
              </w:rPr>
            </w:pPr>
            <w:r>
              <w:rPr>
                <w:b/>
              </w:rPr>
              <w:t>Personal Services</w:t>
            </w:r>
          </w:p>
        </w:tc>
        <w:tc>
          <w:tcPr>
            <w:tcW w:w="1985" w:type="dxa"/>
            <w:tcBorders>
              <w:top w:val="single" w:sz="4" w:space="0" w:color="auto"/>
              <w:left w:val="single" w:sz="4" w:space="0" w:color="auto"/>
              <w:bottom w:val="single" w:sz="4" w:space="0" w:color="auto"/>
              <w:right w:val="single" w:sz="4" w:space="0" w:color="auto"/>
            </w:tcBorders>
          </w:tcPr>
          <w:p w14:paraId="5A95D508" w14:textId="342CC955" w:rsidR="001B0FCF" w:rsidRDefault="001B0FCF" w:rsidP="002767CF">
            <w:pPr>
              <w:pStyle w:val="TableofFigures"/>
            </w:pPr>
            <w:r>
              <w:t>-5%</w:t>
            </w:r>
          </w:p>
        </w:tc>
      </w:tr>
      <w:tr w:rsidR="001B0FCF" w:rsidRPr="00BF389F" w14:paraId="75605BAA" w14:textId="77777777" w:rsidTr="001B0FCF">
        <w:trPr>
          <w:trHeight w:val="267"/>
        </w:trPr>
        <w:tc>
          <w:tcPr>
            <w:tcW w:w="4049" w:type="dxa"/>
            <w:tcBorders>
              <w:top w:val="single" w:sz="4" w:space="0" w:color="auto"/>
              <w:left w:val="single" w:sz="4" w:space="0" w:color="auto"/>
              <w:bottom w:val="single" w:sz="4" w:space="0" w:color="auto"/>
              <w:right w:val="single" w:sz="4" w:space="0" w:color="auto"/>
            </w:tcBorders>
          </w:tcPr>
          <w:p w14:paraId="328E74E8" w14:textId="3680B0DC" w:rsidR="001B0FCF" w:rsidRDefault="001B0FCF" w:rsidP="002767CF">
            <w:pPr>
              <w:pStyle w:val="TableofFigures"/>
              <w:rPr>
                <w:b/>
              </w:rPr>
            </w:pPr>
            <w:r>
              <w:rPr>
                <w:b/>
              </w:rPr>
              <w:t>Vehicles, Freight, &amp; Other Transport</w:t>
            </w:r>
          </w:p>
        </w:tc>
        <w:tc>
          <w:tcPr>
            <w:tcW w:w="1985" w:type="dxa"/>
            <w:tcBorders>
              <w:top w:val="single" w:sz="4" w:space="0" w:color="auto"/>
              <w:left w:val="single" w:sz="4" w:space="0" w:color="auto"/>
              <w:bottom w:val="single" w:sz="4" w:space="0" w:color="auto"/>
              <w:right w:val="single" w:sz="4" w:space="0" w:color="auto"/>
            </w:tcBorders>
          </w:tcPr>
          <w:p w14:paraId="1E27BBE7" w14:textId="75D05665" w:rsidR="001B0FCF" w:rsidRDefault="001B0FCF" w:rsidP="002767CF">
            <w:pPr>
              <w:pStyle w:val="TableofFigures"/>
            </w:pPr>
            <w:r>
              <w:t>-14%</w:t>
            </w:r>
          </w:p>
        </w:tc>
      </w:tr>
    </w:tbl>
    <w:p w14:paraId="3B75D6BF" w14:textId="77777777" w:rsidR="00717F0F" w:rsidRDefault="00717F0F" w:rsidP="2C2C06BD"/>
    <w:p w14:paraId="67A0176E" w14:textId="1D657050" w:rsidR="006E6E77" w:rsidRDefault="006E6E77" w:rsidP="006E6E77">
      <w:pPr>
        <w:rPr>
          <w:lang w:val="en-US"/>
        </w:rPr>
      </w:pPr>
      <w:r w:rsidRPr="2C2C06BD">
        <w:rPr>
          <w:lang w:val="en-US"/>
        </w:rPr>
        <w:t>The c</w:t>
      </w:r>
      <w:r>
        <w:rPr>
          <w:lang w:val="en-US"/>
        </w:rPr>
        <w:t xml:space="preserve">hart and table above show the percentage change in average daily spend adjusted for inflation within the City of Melbourne between Quarter 2 in 2019 and Quarter 2 in 2023 for different spending categories. The categories Hotels &amp; </w:t>
      </w:r>
      <w:r w:rsidR="0026681D">
        <w:rPr>
          <w:lang w:val="en-US"/>
        </w:rPr>
        <w:t>Accommodation</w:t>
      </w:r>
      <w:r>
        <w:rPr>
          <w:lang w:val="en-US"/>
        </w:rPr>
        <w:t xml:space="preserve"> is shown to have the largest increase compared to all others and is 44% higher in Quarter 2 2023 than Quarter 2 2019. The categories Entertainment, Grocery Stores &amp; </w:t>
      </w:r>
      <w:r w:rsidR="0026681D">
        <w:rPr>
          <w:lang w:val="en-US"/>
        </w:rPr>
        <w:t>Supermarkets</w:t>
      </w:r>
      <w:r>
        <w:rPr>
          <w:lang w:val="en-US"/>
        </w:rPr>
        <w:t xml:space="preserve">, Convenience Stores and </w:t>
      </w:r>
      <w:proofErr w:type="spellStart"/>
      <w:r>
        <w:rPr>
          <w:lang w:val="en-US"/>
        </w:rPr>
        <w:t>Specialised</w:t>
      </w:r>
      <w:proofErr w:type="spellEnd"/>
      <w:r>
        <w:rPr>
          <w:lang w:val="en-US"/>
        </w:rPr>
        <w:t xml:space="preserve"> &amp; Luxury Goods are all up between 11% and 16%. The categories Shoes &amp; Clothing, Bars &amp; Clubs and Dining are up between 3% and 8%. The categories Other, Personal Services and Vehicles, Freight, &amp; Other Transport are down.</w:t>
      </w:r>
    </w:p>
    <w:p w14:paraId="11AFF2CD" w14:textId="1ADC97E5" w:rsidR="00DF61AD" w:rsidRDefault="00DF61AD" w:rsidP="006E6E77">
      <w:r>
        <w:rPr>
          <w:lang w:val="en-US"/>
        </w:rPr>
        <w:t xml:space="preserve">During Quarter 2 2023, average daily spend adjusted for inflation was around $1.6 </w:t>
      </w:r>
      <w:r w:rsidR="0026681D">
        <w:rPr>
          <w:lang w:val="en-US"/>
        </w:rPr>
        <w:t>million</w:t>
      </w:r>
      <w:r>
        <w:rPr>
          <w:lang w:val="en-US"/>
        </w:rPr>
        <w:t xml:space="preserve"> for Hotels &amp; </w:t>
      </w:r>
      <w:r w:rsidR="0026681D">
        <w:rPr>
          <w:lang w:val="en-US"/>
        </w:rPr>
        <w:t>Accommodation</w:t>
      </w:r>
      <w:r>
        <w:rPr>
          <w:lang w:val="en-US"/>
        </w:rPr>
        <w:t>, $8.8 million for Dining, $1.6 million for Bars &amp; Clubs and totaled $2.4 billion for the quarter.</w:t>
      </w:r>
    </w:p>
    <w:p w14:paraId="05EEDCFC" w14:textId="4D626235" w:rsidR="032D6260" w:rsidRDefault="032D6260" w:rsidP="00A42358">
      <w:pPr>
        <w:pStyle w:val="Heading1"/>
        <w:rPr>
          <w:rFonts w:ascii="Arial Nova" w:eastAsia="Arial Nova" w:hAnsi="Arial Nova" w:cs="Arial Nova"/>
        </w:rPr>
      </w:pPr>
      <w:r>
        <w:br w:type="page"/>
      </w:r>
      <w:bookmarkStart w:id="13" w:name="_Toc142397448"/>
      <w:r w:rsidRPr="64770C90">
        <w:rPr>
          <w:rStyle w:val="Heading2Char"/>
          <w:lang w:val="en-AU"/>
        </w:rPr>
        <w:lastRenderedPageBreak/>
        <w:t>Appendix</w:t>
      </w:r>
      <w:r w:rsidR="553DB7C2" w:rsidRPr="64770C90">
        <w:rPr>
          <w:rStyle w:val="Heading2Char"/>
          <w:lang w:val="en-AU"/>
        </w:rPr>
        <w:t xml:space="preserve"> 1</w:t>
      </w:r>
      <w:r w:rsidRPr="64770C90">
        <w:rPr>
          <w:rStyle w:val="Heading2Char"/>
          <w:lang w:val="en-AU"/>
        </w:rPr>
        <w:t>:</w:t>
      </w:r>
      <w:r w:rsidR="284D98E9" w:rsidRPr="64770C90">
        <w:rPr>
          <w:rStyle w:val="Heading2Char"/>
          <w:lang w:val="en-AU"/>
        </w:rPr>
        <w:t xml:space="preserve"> Data Sources</w:t>
      </w:r>
      <w:bookmarkEnd w:id="13"/>
      <w:r w:rsidR="284D98E9" w:rsidRPr="64770C90">
        <w:rPr>
          <w:rStyle w:val="Heading2Char"/>
          <w:lang w:val="en-AU"/>
        </w:rPr>
        <w:t xml:space="preserve"> </w:t>
      </w:r>
      <w:r w:rsidRPr="64770C90">
        <w:rPr>
          <w:rStyle w:val="Heading2Char"/>
          <w:lang w:val="en-AU"/>
        </w:rPr>
        <w:t xml:space="preserve"> </w:t>
      </w:r>
    </w:p>
    <w:p w14:paraId="3F85D3E4" w14:textId="77777777" w:rsidR="0059176B" w:rsidRDefault="0059176B" w:rsidP="0059176B">
      <w:pPr>
        <w:rPr>
          <w:rFonts w:eastAsia="Arial" w:cs="Arial"/>
          <w:szCs w:val="20"/>
        </w:rPr>
      </w:pPr>
      <w:r w:rsidRPr="0059176B">
        <w:rPr>
          <w:rFonts w:eastAsia="Arial" w:cs="Arial"/>
          <w:szCs w:val="20"/>
        </w:rPr>
        <w:t xml:space="preserve">Pedestrian activity data current as of 01/07/2023. Source: City of Melbourne Pedestrian Counting System. </w:t>
      </w:r>
    </w:p>
    <w:p w14:paraId="7EF9F6A9" w14:textId="77777777" w:rsidR="0059176B" w:rsidRDefault="0059176B" w:rsidP="0059176B">
      <w:pPr>
        <w:rPr>
          <w:rFonts w:eastAsia="Arial" w:cs="Arial"/>
          <w:szCs w:val="20"/>
        </w:rPr>
      </w:pPr>
      <w:r w:rsidRPr="0059176B">
        <w:rPr>
          <w:rFonts w:eastAsia="Arial" w:cs="Arial"/>
          <w:szCs w:val="20"/>
        </w:rPr>
        <w:t>Spend data current as of 10/07/2023 and is subject to revisions. Data source</w:t>
      </w:r>
      <w:r>
        <w:rPr>
          <w:rFonts w:eastAsia="Arial" w:cs="Arial"/>
          <w:szCs w:val="20"/>
        </w:rPr>
        <w:t xml:space="preserve">: </w:t>
      </w:r>
      <w:proofErr w:type="spellStart"/>
      <w:r>
        <w:rPr>
          <w:rFonts w:eastAsia="Arial" w:cs="Arial"/>
          <w:szCs w:val="20"/>
        </w:rPr>
        <w:t>Spendmapp</w:t>
      </w:r>
      <w:proofErr w:type="spellEnd"/>
      <w:r>
        <w:rPr>
          <w:rFonts w:eastAsia="Arial" w:cs="Arial"/>
          <w:szCs w:val="20"/>
        </w:rPr>
        <w:t xml:space="preserve"> by </w:t>
      </w:r>
      <w:proofErr w:type="spellStart"/>
      <w:r>
        <w:rPr>
          <w:rFonts w:eastAsia="Arial" w:cs="Arial"/>
          <w:szCs w:val="20"/>
        </w:rPr>
        <w:t>Geografia</w:t>
      </w:r>
      <w:proofErr w:type="spellEnd"/>
      <w:r>
        <w:rPr>
          <w:rFonts w:eastAsia="Arial" w:cs="Arial"/>
          <w:szCs w:val="20"/>
        </w:rPr>
        <w:t xml:space="preserve"> (2023). </w:t>
      </w:r>
      <w:r w:rsidRPr="0059176B">
        <w:rPr>
          <w:rFonts w:eastAsia="Arial" w:cs="Arial"/>
          <w:szCs w:val="20"/>
        </w:rPr>
        <w:t xml:space="preserve">All dollar figures </w:t>
      </w:r>
      <w:proofErr w:type="gramStart"/>
      <w:r w:rsidRPr="0059176B">
        <w:rPr>
          <w:rFonts w:eastAsia="Arial" w:cs="Arial"/>
          <w:szCs w:val="20"/>
        </w:rPr>
        <w:t>have been adjusted</w:t>
      </w:r>
      <w:proofErr w:type="gramEnd"/>
      <w:r w:rsidRPr="0059176B">
        <w:rPr>
          <w:rFonts w:eastAsia="Arial" w:cs="Arial"/>
          <w:szCs w:val="20"/>
        </w:rPr>
        <w:t xml:space="preserve"> for inflation to June 2019 prices. </w:t>
      </w:r>
    </w:p>
    <w:p w14:paraId="70BD7B41" w14:textId="77777777" w:rsidR="0059176B" w:rsidRDefault="0059176B" w:rsidP="0059176B">
      <w:pPr>
        <w:rPr>
          <w:rFonts w:eastAsia="Arial" w:cs="Arial"/>
          <w:szCs w:val="20"/>
        </w:rPr>
      </w:pPr>
      <w:r w:rsidRPr="0059176B">
        <w:rPr>
          <w:rFonts w:eastAsia="Arial" w:cs="Arial"/>
          <w:szCs w:val="20"/>
        </w:rPr>
        <w:t xml:space="preserve">Permit data current as of 11/07/2023. Data source: Victorian Building Authority (VBA). </w:t>
      </w:r>
    </w:p>
    <w:p w14:paraId="51FCC716" w14:textId="3CA2E6E0" w:rsidR="032D6260" w:rsidRDefault="0059176B" w:rsidP="0059176B">
      <w:pPr>
        <w:rPr>
          <w:rFonts w:eastAsia="Arial" w:cs="Arial"/>
          <w:szCs w:val="20"/>
        </w:rPr>
      </w:pPr>
      <w:r w:rsidRPr="0059176B">
        <w:rPr>
          <w:rFonts w:eastAsia="Arial" w:cs="Arial"/>
          <w:szCs w:val="20"/>
        </w:rPr>
        <w:t>Hotel data current as of 20/06/2023. Data source: STR Global.</w:t>
      </w:r>
    </w:p>
    <w:p w14:paraId="507FFE75" w14:textId="24EBB9AE" w:rsidR="0032546A" w:rsidRDefault="0032546A" w:rsidP="0059176B">
      <w:pPr>
        <w:rPr>
          <w:rFonts w:eastAsia="Arial" w:cs="Arial"/>
          <w:szCs w:val="20"/>
        </w:rPr>
      </w:pPr>
      <w:r>
        <w:rPr>
          <w:rFonts w:eastAsia="Arial" w:cs="Arial"/>
          <w:szCs w:val="20"/>
        </w:rPr>
        <w:t>*Selected spend categories. The Vehicles, Freight, &amp; Other Transport category predominantly includes the sale of automotive vehicles, transportation costs (not including fuel), and parking.</w:t>
      </w:r>
    </w:p>
    <w:sectPr w:rsidR="0032546A" w:rsidSect="00EF11A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18" w:right="987"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0E5C86B" w16cid:durableId="425080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C8D0" w14:textId="77777777" w:rsidR="002D19A6" w:rsidRDefault="002D19A6" w:rsidP="00BC719D">
      <w:pPr>
        <w:spacing w:after="0"/>
      </w:pPr>
      <w:r>
        <w:separator/>
      </w:r>
    </w:p>
  </w:endnote>
  <w:endnote w:type="continuationSeparator" w:id="0">
    <w:p w14:paraId="2737C1FB" w14:textId="77777777" w:rsidR="002D19A6" w:rsidRDefault="002D19A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36BE" w14:textId="77777777" w:rsidR="00CD64F6" w:rsidRDefault="00CD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BF92" w14:textId="77777777" w:rsidR="00CD64F6" w:rsidRDefault="00CD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E630" w14:textId="77777777" w:rsidR="00CD64F6" w:rsidRDefault="00CD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5A37" w14:textId="77777777" w:rsidR="002D19A6" w:rsidRDefault="002D19A6" w:rsidP="00577A39">
      <w:pPr>
        <w:spacing w:after="40" w:line="240" w:lineRule="auto"/>
      </w:pPr>
      <w:r>
        <w:separator/>
      </w:r>
    </w:p>
  </w:footnote>
  <w:footnote w:type="continuationSeparator" w:id="0">
    <w:p w14:paraId="39C185DA" w14:textId="77777777" w:rsidR="002D19A6" w:rsidRDefault="002D19A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E11D" w14:textId="77777777" w:rsidR="00CD64F6" w:rsidRDefault="00CD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4FF7" w14:textId="77777777" w:rsidR="00CD64F6" w:rsidRDefault="00CD6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8886" w14:textId="77777777" w:rsidR="00CD64F6" w:rsidRDefault="00CD6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28"/>
    <w:rsid w:val="00006626"/>
    <w:rsid w:val="0001662F"/>
    <w:rsid w:val="00020B35"/>
    <w:rsid w:val="000437C5"/>
    <w:rsid w:val="000474AE"/>
    <w:rsid w:val="00071857"/>
    <w:rsid w:val="000A2BDA"/>
    <w:rsid w:val="000A48D5"/>
    <w:rsid w:val="000B5EAA"/>
    <w:rsid w:val="000F3535"/>
    <w:rsid w:val="001164C3"/>
    <w:rsid w:val="00190B0E"/>
    <w:rsid w:val="001B0FCF"/>
    <w:rsid w:val="001B51BF"/>
    <w:rsid w:val="001DB870"/>
    <w:rsid w:val="001F46B4"/>
    <w:rsid w:val="001F554D"/>
    <w:rsid w:val="002436A6"/>
    <w:rsid w:val="002438B7"/>
    <w:rsid w:val="0024773F"/>
    <w:rsid w:val="0026681D"/>
    <w:rsid w:val="00275D28"/>
    <w:rsid w:val="002C25B8"/>
    <w:rsid w:val="002D19A6"/>
    <w:rsid w:val="002D630D"/>
    <w:rsid w:val="002E4153"/>
    <w:rsid w:val="002F47B6"/>
    <w:rsid w:val="002F6A88"/>
    <w:rsid w:val="0032546A"/>
    <w:rsid w:val="00380F44"/>
    <w:rsid w:val="00392688"/>
    <w:rsid w:val="003C3519"/>
    <w:rsid w:val="003D63A8"/>
    <w:rsid w:val="003E3A9F"/>
    <w:rsid w:val="00406F77"/>
    <w:rsid w:val="00407429"/>
    <w:rsid w:val="00426584"/>
    <w:rsid w:val="00431D45"/>
    <w:rsid w:val="004564F4"/>
    <w:rsid w:val="00457042"/>
    <w:rsid w:val="00467930"/>
    <w:rsid w:val="004878DB"/>
    <w:rsid w:val="00493E0A"/>
    <w:rsid w:val="00494A2D"/>
    <w:rsid w:val="004A26E3"/>
    <w:rsid w:val="004A2FE6"/>
    <w:rsid w:val="004D00DD"/>
    <w:rsid w:val="004E1ECE"/>
    <w:rsid w:val="004F54F5"/>
    <w:rsid w:val="00535159"/>
    <w:rsid w:val="0053666A"/>
    <w:rsid w:val="00546DCC"/>
    <w:rsid w:val="005620A0"/>
    <w:rsid w:val="0056634E"/>
    <w:rsid w:val="0057264C"/>
    <w:rsid w:val="00577A39"/>
    <w:rsid w:val="00581049"/>
    <w:rsid w:val="005814F5"/>
    <w:rsid w:val="005842AC"/>
    <w:rsid w:val="0059176B"/>
    <w:rsid w:val="005D30BA"/>
    <w:rsid w:val="005E1643"/>
    <w:rsid w:val="005F4391"/>
    <w:rsid w:val="00602591"/>
    <w:rsid w:val="00630860"/>
    <w:rsid w:val="00644242"/>
    <w:rsid w:val="00687D4A"/>
    <w:rsid w:val="006A2F63"/>
    <w:rsid w:val="006A3718"/>
    <w:rsid w:val="006C6401"/>
    <w:rsid w:val="006C7F7B"/>
    <w:rsid w:val="006E6E77"/>
    <w:rsid w:val="00704726"/>
    <w:rsid w:val="00712950"/>
    <w:rsid w:val="00715B3E"/>
    <w:rsid w:val="00717F0F"/>
    <w:rsid w:val="0073401D"/>
    <w:rsid w:val="007361D8"/>
    <w:rsid w:val="00737A99"/>
    <w:rsid w:val="0076115C"/>
    <w:rsid w:val="00782E37"/>
    <w:rsid w:val="00791DA6"/>
    <w:rsid w:val="007A0AA6"/>
    <w:rsid w:val="007E291E"/>
    <w:rsid w:val="007F0661"/>
    <w:rsid w:val="00802A52"/>
    <w:rsid w:val="00806F0F"/>
    <w:rsid w:val="00831224"/>
    <w:rsid w:val="00850D66"/>
    <w:rsid w:val="00855F84"/>
    <w:rsid w:val="00881C97"/>
    <w:rsid w:val="00882916"/>
    <w:rsid w:val="0089003F"/>
    <w:rsid w:val="008D2DDA"/>
    <w:rsid w:val="008E2476"/>
    <w:rsid w:val="009043FC"/>
    <w:rsid w:val="009050C6"/>
    <w:rsid w:val="0091365A"/>
    <w:rsid w:val="00955E32"/>
    <w:rsid w:val="0097181E"/>
    <w:rsid w:val="00990B3C"/>
    <w:rsid w:val="009930BE"/>
    <w:rsid w:val="009C188A"/>
    <w:rsid w:val="009D1FBA"/>
    <w:rsid w:val="009F4681"/>
    <w:rsid w:val="00A01D13"/>
    <w:rsid w:val="00A121B3"/>
    <w:rsid w:val="00A20991"/>
    <w:rsid w:val="00A42358"/>
    <w:rsid w:val="00A700E3"/>
    <w:rsid w:val="00A74E76"/>
    <w:rsid w:val="00A8651A"/>
    <w:rsid w:val="00A909F7"/>
    <w:rsid w:val="00AA4303"/>
    <w:rsid w:val="00AB6132"/>
    <w:rsid w:val="00AD2B6E"/>
    <w:rsid w:val="00AF02E0"/>
    <w:rsid w:val="00AF1784"/>
    <w:rsid w:val="00B152AF"/>
    <w:rsid w:val="00B33A7D"/>
    <w:rsid w:val="00B52566"/>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80BC5"/>
    <w:rsid w:val="00CA3730"/>
    <w:rsid w:val="00CA6190"/>
    <w:rsid w:val="00CB6145"/>
    <w:rsid w:val="00CD382D"/>
    <w:rsid w:val="00CD64F6"/>
    <w:rsid w:val="00D00427"/>
    <w:rsid w:val="00D02C4A"/>
    <w:rsid w:val="00D174AF"/>
    <w:rsid w:val="00D27EEA"/>
    <w:rsid w:val="00D34036"/>
    <w:rsid w:val="00D64837"/>
    <w:rsid w:val="00D77363"/>
    <w:rsid w:val="00DA38B3"/>
    <w:rsid w:val="00DB649E"/>
    <w:rsid w:val="00DF61AD"/>
    <w:rsid w:val="00E4646D"/>
    <w:rsid w:val="00E5089C"/>
    <w:rsid w:val="00E716E8"/>
    <w:rsid w:val="00E86DCD"/>
    <w:rsid w:val="00E94A1C"/>
    <w:rsid w:val="00EA2130"/>
    <w:rsid w:val="00EC4AF9"/>
    <w:rsid w:val="00ED7629"/>
    <w:rsid w:val="00EF11AE"/>
    <w:rsid w:val="00F03DF7"/>
    <w:rsid w:val="00F07FBE"/>
    <w:rsid w:val="00F24B46"/>
    <w:rsid w:val="00F3037A"/>
    <w:rsid w:val="00F4048D"/>
    <w:rsid w:val="00F41FC6"/>
    <w:rsid w:val="00F61B69"/>
    <w:rsid w:val="00F63593"/>
    <w:rsid w:val="00F83261"/>
    <w:rsid w:val="00FA2DFF"/>
    <w:rsid w:val="00FC6D23"/>
    <w:rsid w:val="00FF1497"/>
    <w:rsid w:val="0131C6FD"/>
    <w:rsid w:val="01322821"/>
    <w:rsid w:val="015C95ED"/>
    <w:rsid w:val="016D9F69"/>
    <w:rsid w:val="0175BE4A"/>
    <w:rsid w:val="018FFB79"/>
    <w:rsid w:val="01BEF33E"/>
    <w:rsid w:val="021F44C4"/>
    <w:rsid w:val="02BB8835"/>
    <w:rsid w:val="02F8664E"/>
    <w:rsid w:val="03118EAB"/>
    <w:rsid w:val="03254A37"/>
    <w:rsid w:val="032D6260"/>
    <w:rsid w:val="0388BB3B"/>
    <w:rsid w:val="041E7C83"/>
    <w:rsid w:val="04509872"/>
    <w:rsid w:val="049436AF"/>
    <w:rsid w:val="04A07AE4"/>
    <w:rsid w:val="04B90B03"/>
    <w:rsid w:val="051D713B"/>
    <w:rsid w:val="068ACFE0"/>
    <w:rsid w:val="075D7CF0"/>
    <w:rsid w:val="08F1EDA6"/>
    <w:rsid w:val="09C49AB6"/>
    <w:rsid w:val="0A23332A"/>
    <w:rsid w:val="0A8DBE07"/>
    <w:rsid w:val="0ABC2EF7"/>
    <w:rsid w:val="0AD1909E"/>
    <w:rsid w:val="0B0B6C43"/>
    <w:rsid w:val="0B7B2F1B"/>
    <w:rsid w:val="0BF6973E"/>
    <w:rsid w:val="0C542E0A"/>
    <w:rsid w:val="0C74439F"/>
    <w:rsid w:val="0C8A8824"/>
    <w:rsid w:val="0C8C454F"/>
    <w:rsid w:val="0CB988C4"/>
    <w:rsid w:val="0CF27961"/>
    <w:rsid w:val="0D0B4C3B"/>
    <w:rsid w:val="1033DC3A"/>
    <w:rsid w:val="1042ECFD"/>
    <w:rsid w:val="105F11C7"/>
    <w:rsid w:val="108A242B"/>
    <w:rsid w:val="113C797C"/>
    <w:rsid w:val="1175FA93"/>
    <w:rsid w:val="11AEC879"/>
    <w:rsid w:val="11D64CC6"/>
    <w:rsid w:val="11D9D7D8"/>
    <w:rsid w:val="12030EA4"/>
    <w:rsid w:val="1229D4B6"/>
    <w:rsid w:val="1316779E"/>
    <w:rsid w:val="1375A839"/>
    <w:rsid w:val="13E47804"/>
    <w:rsid w:val="14A832ED"/>
    <w:rsid w:val="14B247FF"/>
    <w:rsid w:val="14D9830A"/>
    <w:rsid w:val="153282EA"/>
    <w:rsid w:val="1550FD4F"/>
    <w:rsid w:val="16344C1B"/>
    <w:rsid w:val="16AD48FB"/>
    <w:rsid w:val="16CE534B"/>
    <w:rsid w:val="16DB2116"/>
    <w:rsid w:val="17542AFC"/>
    <w:rsid w:val="175B6A0B"/>
    <w:rsid w:val="17E1FB3B"/>
    <w:rsid w:val="17FB6908"/>
    <w:rsid w:val="19175EA1"/>
    <w:rsid w:val="19CF3B29"/>
    <w:rsid w:val="1A246E72"/>
    <w:rsid w:val="1A310671"/>
    <w:rsid w:val="1A670B8E"/>
    <w:rsid w:val="1AAB417C"/>
    <w:rsid w:val="1AAF763E"/>
    <w:rsid w:val="1B218983"/>
    <w:rsid w:val="1B498832"/>
    <w:rsid w:val="1BA6C63B"/>
    <w:rsid w:val="1BB1DE70"/>
    <w:rsid w:val="1BBFC107"/>
    <w:rsid w:val="1C4711DD"/>
    <w:rsid w:val="1CBD59E4"/>
    <w:rsid w:val="1CF0C74A"/>
    <w:rsid w:val="1D35E9E9"/>
    <w:rsid w:val="1D55796B"/>
    <w:rsid w:val="1E4D7BE6"/>
    <w:rsid w:val="1E8325FF"/>
    <w:rsid w:val="1E9B653A"/>
    <w:rsid w:val="1EB8BF87"/>
    <w:rsid w:val="1F004D8A"/>
    <w:rsid w:val="1FC53A9D"/>
    <w:rsid w:val="2093AFF6"/>
    <w:rsid w:val="20FB717C"/>
    <w:rsid w:val="213F5E9E"/>
    <w:rsid w:val="2204ED0F"/>
    <w:rsid w:val="230702D0"/>
    <w:rsid w:val="235D259D"/>
    <w:rsid w:val="2383D78F"/>
    <w:rsid w:val="246B4C1F"/>
    <w:rsid w:val="24B0B2D3"/>
    <w:rsid w:val="24BDD0DC"/>
    <w:rsid w:val="25C5FA62"/>
    <w:rsid w:val="25EDF423"/>
    <w:rsid w:val="261921A0"/>
    <w:rsid w:val="277091C0"/>
    <w:rsid w:val="27F9316D"/>
    <w:rsid w:val="284D98E9"/>
    <w:rsid w:val="299BDCEC"/>
    <w:rsid w:val="2AC952CC"/>
    <w:rsid w:val="2B21C4D1"/>
    <w:rsid w:val="2BBD15BF"/>
    <w:rsid w:val="2C2B7040"/>
    <w:rsid w:val="2C2C06BD"/>
    <w:rsid w:val="2C69580C"/>
    <w:rsid w:val="2C96B870"/>
    <w:rsid w:val="2CB5CFA7"/>
    <w:rsid w:val="2D5EC1B3"/>
    <w:rsid w:val="2D86B883"/>
    <w:rsid w:val="2DE9CEC9"/>
    <w:rsid w:val="2DF90608"/>
    <w:rsid w:val="2E0D48DF"/>
    <w:rsid w:val="2E3AD2DE"/>
    <w:rsid w:val="2E5FC7D1"/>
    <w:rsid w:val="2EC7FBA2"/>
    <w:rsid w:val="2EF4B681"/>
    <w:rsid w:val="2F59B8E4"/>
    <w:rsid w:val="2FD1140A"/>
    <w:rsid w:val="2FF9E399"/>
    <w:rsid w:val="30BC8E0A"/>
    <w:rsid w:val="316804A0"/>
    <w:rsid w:val="323158BC"/>
    <w:rsid w:val="32F3B3A6"/>
    <w:rsid w:val="3369D946"/>
    <w:rsid w:val="33AEFF47"/>
    <w:rsid w:val="33C52A4F"/>
    <w:rsid w:val="3427EFB7"/>
    <w:rsid w:val="34667E9C"/>
    <w:rsid w:val="34C8A717"/>
    <w:rsid w:val="3561059D"/>
    <w:rsid w:val="3595672B"/>
    <w:rsid w:val="360C0573"/>
    <w:rsid w:val="3615E6E5"/>
    <w:rsid w:val="36203CB7"/>
    <w:rsid w:val="369D056E"/>
    <w:rsid w:val="37498B91"/>
    <w:rsid w:val="37A7D5D4"/>
    <w:rsid w:val="37BC0D18"/>
    <w:rsid w:val="37E86A50"/>
    <w:rsid w:val="38F0CAEB"/>
    <w:rsid w:val="39319589"/>
    <w:rsid w:val="3982F0D8"/>
    <w:rsid w:val="399C183A"/>
    <w:rsid w:val="3A5AB3B7"/>
    <w:rsid w:val="3AB47C70"/>
    <w:rsid w:val="3B045234"/>
    <w:rsid w:val="3B3FD621"/>
    <w:rsid w:val="3BBA112C"/>
    <w:rsid w:val="3C391DAD"/>
    <w:rsid w:val="3CD3B8FC"/>
    <w:rsid w:val="3D2042A7"/>
    <w:rsid w:val="3D925479"/>
    <w:rsid w:val="3D95E2AA"/>
    <w:rsid w:val="3E879D0B"/>
    <w:rsid w:val="3EF1B1EE"/>
    <w:rsid w:val="3FCA7EEF"/>
    <w:rsid w:val="4006AF45"/>
    <w:rsid w:val="40EB6705"/>
    <w:rsid w:val="424C92A7"/>
    <w:rsid w:val="429A9043"/>
    <w:rsid w:val="42A4DFA4"/>
    <w:rsid w:val="4329257B"/>
    <w:rsid w:val="44267C57"/>
    <w:rsid w:val="444536BE"/>
    <w:rsid w:val="4459EB3A"/>
    <w:rsid w:val="44A9FA44"/>
    <w:rsid w:val="44CD900A"/>
    <w:rsid w:val="44D37D70"/>
    <w:rsid w:val="44EBCF60"/>
    <w:rsid w:val="45296B94"/>
    <w:rsid w:val="4560F372"/>
    <w:rsid w:val="456B4352"/>
    <w:rsid w:val="45AF93B8"/>
    <w:rsid w:val="45CA8BD2"/>
    <w:rsid w:val="46CFFC1C"/>
    <w:rsid w:val="474A326B"/>
    <w:rsid w:val="48451502"/>
    <w:rsid w:val="48A6BED4"/>
    <w:rsid w:val="48E736A0"/>
    <w:rsid w:val="4900A4EB"/>
    <w:rsid w:val="4952A6C2"/>
    <w:rsid w:val="4954E479"/>
    <w:rsid w:val="496E0CD6"/>
    <w:rsid w:val="4994692E"/>
    <w:rsid w:val="4996C774"/>
    <w:rsid w:val="49BDD0D0"/>
    <w:rsid w:val="49E0D234"/>
    <w:rsid w:val="4A1E741A"/>
    <w:rsid w:val="4A2CA005"/>
    <w:rsid w:val="4AEE7723"/>
    <w:rsid w:val="4B04BD46"/>
    <w:rsid w:val="4B872552"/>
    <w:rsid w:val="4BD034F6"/>
    <w:rsid w:val="4CB5BC07"/>
    <w:rsid w:val="4CF1CA4C"/>
    <w:rsid w:val="4D202F42"/>
    <w:rsid w:val="4D22F5B3"/>
    <w:rsid w:val="4D90E0F5"/>
    <w:rsid w:val="4DFD6D20"/>
    <w:rsid w:val="4F192343"/>
    <w:rsid w:val="4F8D0A8D"/>
    <w:rsid w:val="4FA81979"/>
    <w:rsid w:val="4FD4B57C"/>
    <w:rsid w:val="50296B0E"/>
    <w:rsid w:val="5092756D"/>
    <w:rsid w:val="51BC4268"/>
    <w:rsid w:val="51DE38A9"/>
    <w:rsid w:val="523F767A"/>
    <w:rsid w:val="5258F582"/>
    <w:rsid w:val="529EC133"/>
    <w:rsid w:val="52F98908"/>
    <w:rsid w:val="54476C7B"/>
    <w:rsid w:val="54CF09CE"/>
    <w:rsid w:val="54D71BD5"/>
    <w:rsid w:val="553DB7C2"/>
    <w:rsid w:val="5577173C"/>
    <w:rsid w:val="558B5A13"/>
    <w:rsid w:val="55D661F5"/>
    <w:rsid w:val="56648BD3"/>
    <w:rsid w:val="5695868E"/>
    <w:rsid w:val="56C00C53"/>
    <w:rsid w:val="5769FC29"/>
    <w:rsid w:val="5772AD00"/>
    <w:rsid w:val="58005C34"/>
    <w:rsid w:val="5829F51F"/>
    <w:rsid w:val="58632652"/>
    <w:rsid w:val="5863CA3A"/>
    <w:rsid w:val="5895F7B7"/>
    <w:rsid w:val="58AEB7FE"/>
    <w:rsid w:val="58C7E05B"/>
    <w:rsid w:val="5939C5BA"/>
    <w:rsid w:val="599C2C95"/>
    <w:rsid w:val="5A15F026"/>
    <w:rsid w:val="5A4A885F"/>
    <w:rsid w:val="5A551BF8"/>
    <w:rsid w:val="5AAAE7EA"/>
    <w:rsid w:val="5B199524"/>
    <w:rsid w:val="5C95588D"/>
    <w:rsid w:val="5CF8457B"/>
    <w:rsid w:val="5E6F9DB8"/>
    <w:rsid w:val="5E8EC065"/>
    <w:rsid w:val="5FAFE9EB"/>
    <w:rsid w:val="5FB29672"/>
    <w:rsid w:val="5FD68CE7"/>
    <w:rsid w:val="601BDEA7"/>
    <w:rsid w:val="60CE0CBA"/>
    <w:rsid w:val="60D05CDD"/>
    <w:rsid w:val="6116E98D"/>
    <w:rsid w:val="6243F5A5"/>
    <w:rsid w:val="6331767D"/>
    <w:rsid w:val="634F695E"/>
    <w:rsid w:val="635D947B"/>
    <w:rsid w:val="64061223"/>
    <w:rsid w:val="64770C90"/>
    <w:rsid w:val="64F52D25"/>
    <w:rsid w:val="65633AFD"/>
    <w:rsid w:val="65892E50"/>
    <w:rsid w:val="659EE294"/>
    <w:rsid w:val="65E10292"/>
    <w:rsid w:val="66474D94"/>
    <w:rsid w:val="6667937F"/>
    <w:rsid w:val="668B1593"/>
    <w:rsid w:val="669A877A"/>
    <w:rsid w:val="67856F69"/>
    <w:rsid w:val="67F26B26"/>
    <w:rsid w:val="6832A4C8"/>
    <w:rsid w:val="68674ABE"/>
    <w:rsid w:val="68D52A64"/>
    <w:rsid w:val="69682555"/>
    <w:rsid w:val="69C451FC"/>
    <w:rsid w:val="69DB570B"/>
    <w:rsid w:val="69FEC117"/>
    <w:rsid w:val="6AB49F05"/>
    <w:rsid w:val="6C28BB56"/>
    <w:rsid w:val="6D4D5F27"/>
    <w:rsid w:val="6D708380"/>
    <w:rsid w:val="6E0C46E9"/>
    <w:rsid w:val="6ED811D1"/>
    <w:rsid w:val="6F11B1C9"/>
    <w:rsid w:val="6F3DE0DB"/>
    <w:rsid w:val="6F44E997"/>
    <w:rsid w:val="700EB7E2"/>
    <w:rsid w:val="706456A3"/>
    <w:rsid w:val="71724E62"/>
    <w:rsid w:val="7220D04A"/>
    <w:rsid w:val="7224102B"/>
    <w:rsid w:val="72319522"/>
    <w:rsid w:val="724FF8DB"/>
    <w:rsid w:val="72649AD1"/>
    <w:rsid w:val="72A9B844"/>
    <w:rsid w:val="72C195C5"/>
    <w:rsid w:val="73226A41"/>
    <w:rsid w:val="734467FA"/>
    <w:rsid w:val="735821BC"/>
    <w:rsid w:val="742546A1"/>
    <w:rsid w:val="7433CD3B"/>
    <w:rsid w:val="750CF8F0"/>
    <w:rsid w:val="75B8FC5B"/>
    <w:rsid w:val="75CF9D9C"/>
    <w:rsid w:val="75F28384"/>
    <w:rsid w:val="766CBE8F"/>
    <w:rsid w:val="768B7EA2"/>
    <w:rsid w:val="768D4F81"/>
    <w:rsid w:val="768FFE86"/>
    <w:rsid w:val="769B0A08"/>
    <w:rsid w:val="7743CAC8"/>
    <w:rsid w:val="77608182"/>
    <w:rsid w:val="7764DB4D"/>
    <w:rsid w:val="77CE381B"/>
    <w:rsid w:val="77F6F12E"/>
    <w:rsid w:val="786D9153"/>
    <w:rsid w:val="78BB622E"/>
    <w:rsid w:val="78FBBA25"/>
    <w:rsid w:val="796FEEAE"/>
    <w:rsid w:val="7A1C78F9"/>
    <w:rsid w:val="7A41E263"/>
    <w:rsid w:val="7B08A7D4"/>
    <w:rsid w:val="7B59580F"/>
    <w:rsid w:val="7C0B7D17"/>
    <w:rsid w:val="7C4590CA"/>
    <w:rsid w:val="7C54CAD9"/>
    <w:rsid w:val="7C61C508"/>
    <w:rsid w:val="7CCB04E7"/>
    <w:rsid w:val="7D410276"/>
    <w:rsid w:val="7D42E5F4"/>
    <w:rsid w:val="7D77F52B"/>
    <w:rsid w:val="7DA74D78"/>
    <w:rsid w:val="7DFD9569"/>
    <w:rsid w:val="7E25B5A1"/>
    <w:rsid w:val="7F4D4916"/>
    <w:rsid w:val="7FB05FB2"/>
    <w:rsid w:val="7FC021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2C25B8"/>
    <w:pPr>
      <w:spacing w:before="320" w:after="200" w:line="276" w:lineRule="auto"/>
      <w:outlineLvl w:val="1"/>
    </w:pPr>
    <w:rPr>
      <w:rFonts w:ascii="Arial" w:eastAsia="MS Gothic" w:hAnsi="Arial"/>
      <w:b/>
      <w:bCs/>
      <w:sz w:val="24"/>
      <w:szCs w:val="26"/>
      <w:lang w:val="en-US" w:eastAsia="en-US"/>
    </w:rPr>
  </w:style>
  <w:style w:type="paragraph" w:styleId="Heading3">
    <w:name w:val="heading 3"/>
    <w:basedOn w:val="Heading2"/>
    <w:next w:val="Normal"/>
    <w:link w:val="Heading3Char"/>
    <w:qFormat/>
    <w:rsid w:val="002C25B8"/>
    <w:pPr>
      <w:spacing w:before="280" w:after="160"/>
      <w:outlineLvl w:val="2"/>
    </w:pPr>
    <w:rPr>
      <w:b w:val="0"/>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2C25B8"/>
    <w:rPr>
      <w:rFonts w:ascii="Arial" w:eastAsia="MS Gothic" w:hAnsi="Arial"/>
      <w:b/>
      <w:bCs/>
      <w:sz w:val="24"/>
      <w:szCs w:val="26"/>
      <w:lang w:val="en-US" w:eastAsia="en-US"/>
    </w:rPr>
  </w:style>
  <w:style w:type="character" w:customStyle="1" w:styleId="Heading3Char">
    <w:name w:val="Heading 3 Char"/>
    <w:link w:val="Heading3"/>
    <w:rsid w:val="002C25B8"/>
    <w:rPr>
      <w:rFonts w:ascii="Arial" w:eastAsia="MS Gothic" w:hAnsi="Arial"/>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link w:val="TableofFiguresChar"/>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TableofFiguresChar">
    <w:name w:val="Table of Figures Char"/>
    <w:basedOn w:val="DefaultParagraphFont"/>
    <w:link w:val="TableofFigures"/>
    <w:rsid w:val="00275D28"/>
    <w:rPr>
      <w:rFonts w:ascii="Arial" w:hAnsi="Arial"/>
      <w:szCs w:val="24"/>
      <w:lang w:val="en-US" w:eastAsia="en-US"/>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33A7D"/>
    <w:rPr>
      <w:b/>
      <w:bCs/>
    </w:rPr>
  </w:style>
  <w:style w:type="character" w:customStyle="1" w:styleId="CommentSubjectChar">
    <w:name w:val="Comment Subject Char"/>
    <w:basedOn w:val="CommentTextChar"/>
    <w:link w:val="CommentSubject"/>
    <w:semiHidden/>
    <w:rsid w:val="00B33A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08317">
      <w:bodyDiv w:val="1"/>
      <w:marLeft w:val="0"/>
      <w:marRight w:val="0"/>
      <w:marTop w:val="0"/>
      <w:marBottom w:val="0"/>
      <w:divBdr>
        <w:top w:val="none" w:sz="0" w:space="0" w:color="auto"/>
        <w:left w:val="none" w:sz="0" w:space="0" w:color="auto"/>
        <w:bottom w:val="none" w:sz="0" w:space="0" w:color="auto"/>
        <w:right w:val="none" w:sz="0" w:space="0" w:color="auto"/>
      </w:divBdr>
      <w:divsChild>
        <w:div w:id="528687992">
          <w:marLeft w:val="0"/>
          <w:marRight w:val="0"/>
          <w:marTop w:val="0"/>
          <w:marBottom w:val="0"/>
          <w:divBdr>
            <w:top w:val="none" w:sz="0" w:space="0" w:color="auto"/>
            <w:left w:val="none" w:sz="0" w:space="0" w:color="auto"/>
            <w:bottom w:val="none" w:sz="0" w:space="0" w:color="auto"/>
            <w:right w:val="none" w:sz="0" w:space="0" w:color="auto"/>
          </w:divBdr>
        </w:div>
      </w:divsChild>
    </w:div>
    <w:div w:id="1684283517">
      <w:bodyDiv w:val="1"/>
      <w:marLeft w:val="0"/>
      <w:marRight w:val="0"/>
      <w:marTop w:val="0"/>
      <w:marBottom w:val="0"/>
      <w:divBdr>
        <w:top w:val="none" w:sz="0" w:space="0" w:color="auto"/>
        <w:left w:val="none" w:sz="0" w:space="0" w:color="auto"/>
        <w:bottom w:val="none" w:sz="0" w:space="0" w:color="auto"/>
        <w:right w:val="none" w:sz="0" w:space="0" w:color="auto"/>
      </w:divBdr>
      <w:divsChild>
        <w:div w:id="7093821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13cc063ab7d54ef3" Type="http://schemas.microsoft.com/office/2016/09/relationships/commentsIds" Target="commentsIds.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38A29-5B34-4D04-A735-6F3C872BC76D}"/>
</file>

<file path=customXml/itemProps2.xml><?xml version="1.0" encoding="utf-8"?>
<ds:datastoreItem xmlns:ds="http://schemas.openxmlformats.org/officeDocument/2006/customXml" ds:itemID="{3F102F43-935F-432E-9E97-D403B0CC07FE}"/>
</file>

<file path=customXml/itemProps3.xml><?xml version="1.0" encoding="utf-8"?>
<ds:datastoreItem xmlns:ds="http://schemas.openxmlformats.org/officeDocument/2006/customXml" ds:itemID="{EC6087A6-6741-4B94-A511-F3729785D664}"/>
</file>

<file path=docProps/app.xml><?xml version="1.0" encoding="utf-8"?>
<Properties xmlns="http://schemas.openxmlformats.org/officeDocument/2006/extended-properties" xmlns:vt="http://schemas.openxmlformats.org/officeDocument/2006/docPropsVTypes">
  <Template>Normal.dotm</Template>
  <TotalTime>0</TotalTime>
  <Pages>10</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Economy Snapshot July 2023</dc:title>
  <dc:subject/>
  <dc:creator>City of Melbourne</dc:creator>
  <cp:keywords/>
  <cp:lastModifiedBy/>
  <cp:revision>1</cp:revision>
  <dcterms:created xsi:type="dcterms:W3CDTF">2023-08-09T06:53:00Z</dcterms:created>
  <dcterms:modified xsi:type="dcterms:W3CDTF">2023-08-09T06:53:00Z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