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56954" w:rsidRDefault="00756954" w:rsidP="00756954">
      <w:pPr>
        <w:pStyle w:val="DocumentTitle"/>
        <w:spacing w:before="3360"/>
      </w:pPr>
      <w:r>
        <w:t xml:space="preserve">City of Melbourne – </w:t>
      </w:r>
      <w:bookmarkStart w:id="0" w:name="_GoBack"/>
      <w:r>
        <w:t>Melbourne Economy Snapshot</w:t>
      </w:r>
    </w:p>
    <w:p w:rsidR="00756954" w:rsidRDefault="00151C6A" w:rsidP="00756954">
      <w:pPr>
        <w:pStyle w:val="Subtitle"/>
      </w:pPr>
      <w:r>
        <w:t xml:space="preserve">Number 4, </w:t>
      </w:r>
      <w:r w:rsidR="00756954">
        <w:t>November 2023</w:t>
      </w:r>
    </w:p>
    <w:bookmarkEnd w:id="0"/>
    <w:p w:rsidR="00423541" w:rsidRDefault="00756954" w:rsidP="00756954">
      <w:r>
        <w:t>DISCLAIMER: We’ve taken every care to ensure this information is correct at the time of publication. The City of Melbourne assumes no responsibility or liability for any errors, omissions or changes to information over time. The City of Melbourne does not accept liability whatsoever for any direct or indirect loss, damage or injury as a result of reliance on this information.</w:t>
      </w:r>
    </w:p>
    <w:p w:rsidR="00423541" w:rsidRDefault="00423541">
      <w:pPr>
        <w:spacing w:after="0" w:line="240" w:lineRule="auto"/>
      </w:pPr>
      <w:r>
        <w:br w:type="page"/>
      </w:r>
    </w:p>
    <w:sdt>
      <w:sdtPr>
        <w:rPr>
          <w:rFonts w:ascii="Arial" w:eastAsia="MS Mincho" w:hAnsi="Arial"/>
          <w:sz w:val="20"/>
          <w:szCs w:val="24"/>
          <w:lang w:val="en-AU"/>
        </w:rPr>
        <w:id w:val="-1385175184"/>
        <w:docPartObj>
          <w:docPartGallery w:val="Table of Contents"/>
          <w:docPartUnique/>
        </w:docPartObj>
      </w:sdtPr>
      <w:sdtEndPr>
        <w:rPr>
          <w:b/>
          <w:bCs/>
          <w:noProof/>
        </w:rPr>
      </w:sdtEndPr>
      <w:sdtContent>
        <w:p w:rsidR="00756954" w:rsidRDefault="00756954">
          <w:pPr>
            <w:pStyle w:val="TOCHeading"/>
            <w:rPr>
              <w:rFonts w:hint="eastAsia"/>
            </w:rPr>
          </w:pPr>
          <w:r>
            <w:t>Contents</w:t>
          </w:r>
        </w:p>
        <w:p w:rsidR="00423541" w:rsidRDefault="00756954">
          <w:pPr>
            <w:pStyle w:val="TOC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2164439" w:history="1">
            <w:r w:rsidR="00423541" w:rsidRPr="002E5D8C">
              <w:rPr>
                <w:rStyle w:val="Hyperlink"/>
                <w:noProof/>
              </w:rPr>
              <w:t>Global guests, greater gains</w:t>
            </w:r>
            <w:r w:rsidR="00423541">
              <w:rPr>
                <w:noProof/>
                <w:webHidden/>
              </w:rPr>
              <w:tab/>
            </w:r>
            <w:r w:rsidR="00423541">
              <w:rPr>
                <w:noProof/>
                <w:webHidden/>
              </w:rPr>
              <w:fldChar w:fldCharType="begin"/>
            </w:r>
            <w:r w:rsidR="00423541">
              <w:rPr>
                <w:noProof/>
                <w:webHidden/>
              </w:rPr>
              <w:instrText xml:space="preserve"> PAGEREF _Toc152164439 \h </w:instrText>
            </w:r>
            <w:r w:rsidR="00423541">
              <w:rPr>
                <w:noProof/>
                <w:webHidden/>
              </w:rPr>
            </w:r>
            <w:r w:rsidR="00423541">
              <w:rPr>
                <w:noProof/>
                <w:webHidden/>
              </w:rPr>
              <w:fldChar w:fldCharType="separate"/>
            </w:r>
            <w:r w:rsidR="00423541">
              <w:rPr>
                <w:noProof/>
                <w:webHidden/>
              </w:rPr>
              <w:t>3</w:t>
            </w:r>
            <w:r w:rsidR="00423541">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0" w:history="1">
            <w:r w:rsidRPr="002E5D8C">
              <w:rPr>
                <w:rStyle w:val="Hyperlink"/>
                <w:noProof/>
              </w:rPr>
              <w:t>Table 1 - International holiday arrivals in Melbourne</w:t>
            </w:r>
            <w:r>
              <w:rPr>
                <w:noProof/>
                <w:webHidden/>
              </w:rPr>
              <w:tab/>
            </w:r>
            <w:r>
              <w:rPr>
                <w:noProof/>
                <w:webHidden/>
              </w:rPr>
              <w:fldChar w:fldCharType="begin"/>
            </w:r>
            <w:r>
              <w:rPr>
                <w:noProof/>
                <w:webHidden/>
              </w:rPr>
              <w:instrText xml:space="preserve"> PAGEREF _Toc152164440 \h </w:instrText>
            </w:r>
            <w:r>
              <w:rPr>
                <w:noProof/>
                <w:webHidden/>
              </w:rPr>
            </w:r>
            <w:r>
              <w:rPr>
                <w:noProof/>
                <w:webHidden/>
              </w:rPr>
              <w:fldChar w:fldCharType="separate"/>
            </w:r>
            <w:r>
              <w:rPr>
                <w:noProof/>
                <w:webHidden/>
              </w:rPr>
              <w:t>3</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1" w:history="1">
            <w:r w:rsidRPr="002E5D8C">
              <w:rPr>
                <w:rStyle w:val="Hyperlink"/>
                <w:noProof/>
              </w:rPr>
              <w:t>Table 2 - International visitors of friends and relatives in Melbourne</w:t>
            </w:r>
            <w:r>
              <w:rPr>
                <w:noProof/>
                <w:webHidden/>
              </w:rPr>
              <w:tab/>
            </w:r>
            <w:r>
              <w:rPr>
                <w:noProof/>
                <w:webHidden/>
              </w:rPr>
              <w:fldChar w:fldCharType="begin"/>
            </w:r>
            <w:r>
              <w:rPr>
                <w:noProof/>
                <w:webHidden/>
              </w:rPr>
              <w:instrText xml:space="preserve"> PAGEREF _Toc152164441 \h </w:instrText>
            </w:r>
            <w:r>
              <w:rPr>
                <w:noProof/>
                <w:webHidden/>
              </w:rPr>
            </w:r>
            <w:r>
              <w:rPr>
                <w:noProof/>
                <w:webHidden/>
              </w:rPr>
              <w:fldChar w:fldCharType="separate"/>
            </w:r>
            <w:r>
              <w:rPr>
                <w:noProof/>
                <w:webHidden/>
              </w:rPr>
              <w:t>3</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2" w:history="1">
            <w:r w:rsidRPr="002E5D8C">
              <w:rPr>
                <w:rStyle w:val="Hyperlink"/>
                <w:noProof/>
              </w:rPr>
              <w:t>Table 3 - Spending total</w:t>
            </w:r>
            <w:r>
              <w:rPr>
                <w:noProof/>
                <w:webHidden/>
              </w:rPr>
              <w:tab/>
            </w:r>
            <w:r>
              <w:rPr>
                <w:noProof/>
                <w:webHidden/>
              </w:rPr>
              <w:fldChar w:fldCharType="begin"/>
            </w:r>
            <w:r>
              <w:rPr>
                <w:noProof/>
                <w:webHidden/>
              </w:rPr>
              <w:instrText xml:space="preserve"> PAGEREF _Toc152164442 \h </w:instrText>
            </w:r>
            <w:r>
              <w:rPr>
                <w:noProof/>
                <w:webHidden/>
              </w:rPr>
            </w:r>
            <w:r>
              <w:rPr>
                <w:noProof/>
                <w:webHidden/>
              </w:rPr>
              <w:fldChar w:fldCharType="separate"/>
            </w:r>
            <w:r>
              <w:rPr>
                <w:noProof/>
                <w:webHidden/>
              </w:rPr>
              <w:t>3</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3" w:history="1">
            <w:r w:rsidRPr="002E5D8C">
              <w:rPr>
                <w:rStyle w:val="Hyperlink"/>
                <w:noProof/>
              </w:rPr>
              <w:t>Table 4 - Spending by key categories</w:t>
            </w:r>
            <w:r>
              <w:rPr>
                <w:noProof/>
                <w:webHidden/>
              </w:rPr>
              <w:tab/>
            </w:r>
            <w:r>
              <w:rPr>
                <w:noProof/>
                <w:webHidden/>
              </w:rPr>
              <w:fldChar w:fldCharType="begin"/>
            </w:r>
            <w:r>
              <w:rPr>
                <w:noProof/>
                <w:webHidden/>
              </w:rPr>
              <w:instrText xml:space="preserve"> PAGEREF _Toc152164443 \h </w:instrText>
            </w:r>
            <w:r>
              <w:rPr>
                <w:noProof/>
                <w:webHidden/>
              </w:rPr>
            </w:r>
            <w:r>
              <w:rPr>
                <w:noProof/>
                <w:webHidden/>
              </w:rPr>
              <w:fldChar w:fldCharType="separate"/>
            </w:r>
            <w:r>
              <w:rPr>
                <w:noProof/>
                <w:webHidden/>
              </w:rPr>
              <w:t>3</w:t>
            </w:r>
            <w:r>
              <w:rPr>
                <w:noProof/>
                <w:webHidden/>
              </w:rPr>
              <w:fldChar w:fldCharType="end"/>
            </w:r>
          </w:hyperlink>
        </w:p>
        <w:p w:rsidR="00423541" w:rsidRDefault="00423541">
          <w:pPr>
            <w:pStyle w:val="TOC2"/>
            <w:rPr>
              <w:rFonts w:asciiTheme="minorHAnsi" w:eastAsiaTheme="minorEastAsia" w:hAnsiTheme="minorHAnsi" w:cstheme="minorBidi"/>
              <w:noProof/>
              <w:sz w:val="22"/>
              <w:szCs w:val="22"/>
              <w:lang w:eastAsia="en-AU"/>
            </w:rPr>
          </w:pPr>
          <w:hyperlink w:anchor="_Toc152164444" w:history="1">
            <w:r w:rsidRPr="002E5D8C">
              <w:rPr>
                <w:rStyle w:val="Hyperlink"/>
                <w:noProof/>
              </w:rPr>
              <w:t>Brain boost: Knowledge jobs increase</w:t>
            </w:r>
            <w:r>
              <w:rPr>
                <w:noProof/>
                <w:webHidden/>
              </w:rPr>
              <w:tab/>
            </w:r>
            <w:r>
              <w:rPr>
                <w:noProof/>
                <w:webHidden/>
              </w:rPr>
              <w:fldChar w:fldCharType="begin"/>
            </w:r>
            <w:r>
              <w:rPr>
                <w:noProof/>
                <w:webHidden/>
              </w:rPr>
              <w:instrText xml:space="preserve"> PAGEREF _Toc152164444 \h </w:instrText>
            </w:r>
            <w:r>
              <w:rPr>
                <w:noProof/>
                <w:webHidden/>
              </w:rPr>
            </w:r>
            <w:r>
              <w:rPr>
                <w:noProof/>
                <w:webHidden/>
              </w:rPr>
              <w:fldChar w:fldCharType="separate"/>
            </w:r>
            <w:r>
              <w:rPr>
                <w:noProof/>
                <w:webHidden/>
              </w:rPr>
              <w:t>4</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5" w:history="1">
            <w:r w:rsidRPr="002E5D8C">
              <w:rPr>
                <w:rStyle w:val="Hyperlink"/>
                <w:noProof/>
              </w:rPr>
              <w:t>Table 5 - Knowledge jobs total</w:t>
            </w:r>
            <w:r>
              <w:rPr>
                <w:noProof/>
                <w:webHidden/>
              </w:rPr>
              <w:tab/>
            </w:r>
            <w:r>
              <w:rPr>
                <w:noProof/>
                <w:webHidden/>
              </w:rPr>
              <w:fldChar w:fldCharType="begin"/>
            </w:r>
            <w:r>
              <w:rPr>
                <w:noProof/>
                <w:webHidden/>
              </w:rPr>
              <w:instrText xml:space="preserve"> PAGEREF _Toc152164445 \h </w:instrText>
            </w:r>
            <w:r>
              <w:rPr>
                <w:noProof/>
                <w:webHidden/>
              </w:rPr>
            </w:r>
            <w:r>
              <w:rPr>
                <w:noProof/>
                <w:webHidden/>
              </w:rPr>
              <w:fldChar w:fldCharType="separate"/>
            </w:r>
            <w:r>
              <w:rPr>
                <w:noProof/>
                <w:webHidden/>
              </w:rPr>
              <w:t>4</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6" w:history="1">
            <w:r w:rsidRPr="002E5D8C">
              <w:rPr>
                <w:rStyle w:val="Hyperlink"/>
                <w:noProof/>
              </w:rPr>
              <w:t>Table 6 - Knowledge jobs by category</w:t>
            </w:r>
            <w:r>
              <w:rPr>
                <w:noProof/>
                <w:webHidden/>
              </w:rPr>
              <w:tab/>
            </w:r>
            <w:r>
              <w:rPr>
                <w:noProof/>
                <w:webHidden/>
              </w:rPr>
              <w:fldChar w:fldCharType="begin"/>
            </w:r>
            <w:r>
              <w:rPr>
                <w:noProof/>
                <w:webHidden/>
              </w:rPr>
              <w:instrText xml:space="preserve"> PAGEREF _Toc152164446 \h </w:instrText>
            </w:r>
            <w:r>
              <w:rPr>
                <w:noProof/>
                <w:webHidden/>
              </w:rPr>
            </w:r>
            <w:r>
              <w:rPr>
                <w:noProof/>
                <w:webHidden/>
              </w:rPr>
              <w:fldChar w:fldCharType="separate"/>
            </w:r>
            <w:r>
              <w:rPr>
                <w:noProof/>
                <w:webHidden/>
              </w:rPr>
              <w:t>4</w:t>
            </w:r>
            <w:r>
              <w:rPr>
                <w:noProof/>
                <w:webHidden/>
              </w:rPr>
              <w:fldChar w:fldCharType="end"/>
            </w:r>
          </w:hyperlink>
        </w:p>
        <w:p w:rsidR="00423541" w:rsidRDefault="00423541">
          <w:pPr>
            <w:pStyle w:val="TOC2"/>
            <w:rPr>
              <w:rFonts w:asciiTheme="minorHAnsi" w:eastAsiaTheme="minorEastAsia" w:hAnsiTheme="minorHAnsi" w:cstheme="minorBidi"/>
              <w:noProof/>
              <w:sz w:val="22"/>
              <w:szCs w:val="22"/>
              <w:lang w:eastAsia="en-AU"/>
            </w:rPr>
          </w:pPr>
          <w:hyperlink w:anchor="_Toc152164447" w:history="1">
            <w:r w:rsidRPr="002E5D8C">
              <w:rPr>
                <w:rStyle w:val="Hyperlink"/>
                <w:noProof/>
              </w:rPr>
              <w:t>Living large: Residential room</w:t>
            </w:r>
            <w:r>
              <w:rPr>
                <w:noProof/>
                <w:webHidden/>
              </w:rPr>
              <w:tab/>
            </w:r>
            <w:r>
              <w:rPr>
                <w:noProof/>
                <w:webHidden/>
              </w:rPr>
              <w:fldChar w:fldCharType="begin"/>
            </w:r>
            <w:r>
              <w:rPr>
                <w:noProof/>
                <w:webHidden/>
              </w:rPr>
              <w:instrText xml:space="preserve"> PAGEREF _Toc152164447 \h </w:instrText>
            </w:r>
            <w:r>
              <w:rPr>
                <w:noProof/>
                <w:webHidden/>
              </w:rPr>
            </w:r>
            <w:r>
              <w:rPr>
                <w:noProof/>
                <w:webHidden/>
              </w:rPr>
              <w:fldChar w:fldCharType="separate"/>
            </w:r>
            <w:r>
              <w:rPr>
                <w:noProof/>
                <w:webHidden/>
              </w:rPr>
              <w:t>4</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8" w:history="1">
            <w:r w:rsidRPr="002E5D8C">
              <w:rPr>
                <w:rStyle w:val="Hyperlink"/>
                <w:noProof/>
              </w:rPr>
              <w:t>Table 7 - Gross Regional Product (GRP) generated by local residents (2002 to 2022)</w:t>
            </w:r>
            <w:r>
              <w:rPr>
                <w:noProof/>
                <w:webHidden/>
              </w:rPr>
              <w:tab/>
            </w:r>
            <w:r>
              <w:rPr>
                <w:noProof/>
                <w:webHidden/>
              </w:rPr>
              <w:fldChar w:fldCharType="begin"/>
            </w:r>
            <w:r>
              <w:rPr>
                <w:noProof/>
                <w:webHidden/>
              </w:rPr>
              <w:instrText xml:space="preserve"> PAGEREF _Toc152164448 \h </w:instrText>
            </w:r>
            <w:r>
              <w:rPr>
                <w:noProof/>
                <w:webHidden/>
              </w:rPr>
            </w:r>
            <w:r>
              <w:rPr>
                <w:noProof/>
                <w:webHidden/>
              </w:rPr>
              <w:fldChar w:fldCharType="separate"/>
            </w:r>
            <w:r>
              <w:rPr>
                <w:noProof/>
                <w:webHidden/>
              </w:rPr>
              <w:t>5</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49" w:history="1">
            <w:r w:rsidRPr="002E5D8C">
              <w:rPr>
                <w:rStyle w:val="Hyperlink"/>
                <w:noProof/>
              </w:rPr>
              <w:t>Table 8 - Residential floor space</w:t>
            </w:r>
            <w:r>
              <w:rPr>
                <w:noProof/>
                <w:webHidden/>
              </w:rPr>
              <w:tab/>
            </w:r>
            <w:r>
              <w:rPr>
                <w:noProof/>
                <w:webHidden/>
              </w:rPr>
              <w:fldChar w:fldCharType="begin"/>
            </w:r>
            <w:r>
              <w:rPr>
                <w:noProof/>
                <w:webHidden/>
              </w:rPr>
              <w:instrText xml:space="preserve"> PAGEREF _Toc152164449 \h </w:instrText>
            </w:r>
            <w:r>
              <w:rPr>
                <w:noProof/>
                <w:webHidden/>
              </w:rPr>
            </w:r>
            <w:r>
              <w:rPr>
                <w:noProof/>
                <w:webHidden/>
              </w:rPr>
              <w:fldChar w:fldCharType="separate"/>
            </w:r>
            <w:r>
              <w:rPr>
                <w:noProof/>
                <w:webHidden/>
              </w:rPr>
              <w:t>6</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50" w:history="1">
            <w:r w:rsidRPr="002E5D8C">
              <w:rPr>
                <w:rStyle w:val="Hyperlink"/>
                <w:noProof/>
              </w:rPr>
              <w:t>Table 9 - Office floor space</w:t>
            </w:r>
            <w:r>
              <w:rPr>
                <w:noProof/>
                <w:webHidden/>
              </w:rPr>
              <w:tab/>
            </w:r>
            <w:r>
              <w:rPr>
                <w:noProof/>
                <w:webHidden/>
              </w:rPr>
              <w:fldChar w:fldCharType="begin"/>
            </w:r>
            <w:r>
              <w:rPr>
                <w:noProof/>
                <w:webHidden/>
              </w:rPr>
              <w:instrText xml:space="preserve"> PAGEREF _Toc152164450 \h </w:instrText>
            </w:r>
            <w:r>
              <w:rPr>
                <w:noProof/>
                <w:webHidden/>
              </w:rPr>
            </w:r>
            <w:r>
              <w:rPr>
                <w:noProof/>
                <w:webHidden/>
              </w:rPr>
              <w:fldChar w:fldCharType="separate"/>
            </w:r>
            <w:r>
              <w:rPr>
                <w:noProof/>
                <w:webHidden/>
              </w:rPr>
              <w:t>6</w:t>
            </w:r>
            <w:r>
              <w:rPr>
                <w:noProof/>
                <w:webHidden/>
              </w:rPr>
              <w:fldChar w:fldCharType="end"/>
            </w:r>
          </w:hyperlink>
        </w:p>
        <w:p w:rsidR="00423541" w:rsidRDefault="00423541">
          <w:pPr>
            <w:pStyle w:val="TOC2"/>
            <w:rPr>
              <w:rFonts w:asciiTheme="minorHAnsi" w:eastAsiaTheme="minorEastAsia" w:hAnsiTheme="minorHAnsi" w:cstheme="minorBidi"/>
              <w:noProof/>
              <w:sz w:val="22"/>
              <w:szCs w:val="22"/>
              <w:lang w:eastAsia="en-AU"/>
            </w:rPr>
          </w:pPr>
          <w:hyperlink w:anchor="_Toc152164451" w:history="1">
            <w:r w:rsidRPr="002E5D8C">
              <w:rPr>
                <w:rStyle w:val="Hyperlink"/>
                <w:noProof/>
              </w:rPr>
              <w:t>Urban tails: High rise hounds</w:t>
            </w:r>
            <w:r>
              <w:rPr>
                <w:noProof/>
                <w:webHidden/>
              </w:rPr>
              <w:tab/>
            </w:r>
            <w:r>
              <w:rPr>
                <w:noProof/>
                <w:webHidden/>
              </w:rPr>
              <w:fldChar w:fldCharType="begin"/>
            </w:r>
            <w:r>
              <w:rPr>
                <w:noProof/>
                <w:webHidden/>
              </w:rPr>
              <w:instrText xml:space="preserve"> PAGEREF _Toc152164451 \h </w:instrText>
            </w:r>
            <w:r>
              <w:rPr>
                <w:noProof/>
                <w:webHidden/>
              </w:rPr>
            </w:r>
            <w:r>
              <w:rPr>
                <w:noProof/>
                <w:webHidden/>
              </w:rPr>
              <w:fldChar w:fldCharType="separate"/>
            </w:r>
            <w:r>
              <w:rPr>
                <w:noProof/>
                <w:webHidden/>
              </w:rPr>
              <w:t>7</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52" w:history="1">
            <w:r w:rsidRPr="002E5D8C">
              <w:rPr>
                <w:rStyle w:val="Hyperlink"/>
                <w:noProof/>
              </w:rPr>
              <w:t>Table 10 - Dog registrations by neighborhood</w:t>
            </w:r>
            <w:r>
              <w:rPr>
                <w:noProof/>
                <w:webHidden/>
              </w:rPr>
              <w:tab/>
            </w:r>
            <w:r>
              <w:rPr>
                <w:noProof/>
                <w:webHidden/>
              </w:rPr>
              <w:fldChar w:fldCharType="begin"/>
            </w:r>
            <w:r>
              <w:rPr>
                <w:noProof/>
                <w:webHidden/>
              </w:rPr>
              <w:instrText xml:space="preserve"> PAGEREF _Toc152164452 \h </w:instrText>
            </w:r>
            <w:r>
              <w:rPr>
                <w:noProof/>
                <w:webHidden/>
              </w:rPr>
            </w:r>
            <w:r>
              <w:rPr>
                <w:noProof/>
                <w:webHidden/>
              </w:rPr>
              <w:fldChar w:fldCharType="separate"/>
            </w:r>
            <w:r>
              <w:rPr>
                <w:noProof/>
                <w:webHidden/>
              </w:rPr>
              <w:t>7</w:t>
            </w:r>
            <w:r>
              <w:rPr>
                <w:noProof/>
                <w:webHidden/>
              </w:rPr>
              <w:fldChar w:fldCharType="end"/>
            </w:r>
          </w:hyperlink>
        </w:p>
        <w:p w:rsidR="00423541" w:rsidRDefault="00423541">
          <w:pPr>
            <w:pStyle w:val="TOC3"/>
            <w:rPr>
              <w:rFonts w:asciiTheme="minorHAnsi" w:eastAsiaTheme="minorEastAsia" w:hAnsiTheme="minorHAnsi" w:cstheme="minorBidi"/>
              <w:noProof/>
              <w:sz w:val="22"/>
              <w:szCs w:val="22"/>
              <w:lang w:eastAsia="en-AU"/>
            </w:rPr>
          </w:pPr>
          <w:hyperlink w:anchor="_Toc152164453" w:history="1">
            <w:r w:rsidRPr="002E5D8C">
              <w:rPr>
                <w:rStyle w:val="Hyperlink"/>
                <w:noProof/>
              </w:rPr>
              <w:t>Table 11 - Melbourne’s most popular breeds</w:t>
            </w:r>
            <w:r>
              <w:rPr>
                <w:noProof/>
                <w:webHidden/>
              </w:rPr>
              <w:tab/>
            </w:r>
            <w:r>
              <w:rPr>
                <w:noProof/>
                <w:webHidden/>
              </w:rPr>
              <w:fldChar w:fldCharType="begin"/>
            </w:r>
            <w:r>
              <w:rPr>
                <w:noProof/>
                <w:webHidden/>
              </w:rPr>
              <w:instrText xml:space="preserve"> PAGEREF _Toc152164453 \h </w:instrText>
            </w:r>
            <w:r>
              <w:rPr>
                <w:noProof/>
                <w:webHidden/>
              </w:rPr>
            </w:r>
            <w:r>
              <w:rPr>
                <w:noProof/>
                <w:webHidden/>
              </w:rPr>
              <w:fldChar w:fldCharType="separate"/>
            </w:r>
            <w:r>
              <w:rPr>
                <w:noProof/>
                <w:webHidden/>
              </w:rPr>
              <w:t>7</w:t>
            </w:r>
            <w:r>
              <w:rPr>
                <w:noProof/>
                <w:webHidden/>
              </w:rPr>
              <w:fldChar w:fldCharType="end"/>
            </w:r>
          </w:hyperlink>
        </w:p>
        <w:p w:rsidR="00423541" w:rsidRDefault="00423541">
          <w:pPr>
            <w:pStyle w:val="TOC2"/>
            <w:rPr>
              <w:rFonts w:asciiTheme="minorHAnsi" w:eastAsiaTheme="minorEastAsia" w:hAnsiTheme="minorHAnsi" w:cstheme="minorBidi"/>
              <w:noProof/>
              <w:sz w:val="22"/>
              <w:szCs w:val="22"/>
              <w:lang w:eastAsia="en-AU"/>
            </w:rPr>
          </w:pPr>
          <w:hyperlink w:anchor="_Toc152164454" w:history="1">
            <w:r w:rsidRPr="002E5D8C">
              <w:rPr>
                <w:rStyle w:val="Hyperlink"/>
                <w:noProof/>
              </w:rPr>
              <w:t>Appendix 1: Data sources</w:t>
            </w:r>
            <w:r>
              <w:rPr>
                <w:noProof/>
                <w:webHidden/>
              </w:rPr>
              <w:tab/>
            </w:r>
            <w:r>
              <w:rPr>
                <w:noProof/>
                <w:webHidden/>
              </w:rPr>
              <w:fldChar w:fldCharType="begin"/>
            </w:r>
            <w:r>
              <w:rPr>
                <w:noProof/>
                <w:webHidden/>
              </w:rPr>
              <w:instrText xml:space="preserve"> PAGEREF _Toc152164454 \h </w:instrText>
            </w:r>
            <w:r>
              <w:rPr>
                <w:noProof/>
                <w:webHidden/>
              </w:rPr>
            </w:r>
            <w:r>
              <w:rPr>
                <w:noProof/>
                <w:webHidden/>
              </w:rPr>
              <w:fldChar w:fldCharType="separate"/>
            </w:r>
            <w:r>
              <w:rPr>
                <w:noProof/>
                <w:webHidden/>
              </w:rPr>
              <w:t>7</w:t>
            </w:r>
            <w:r>
              <w:rPr>
                <w:noProof/>
                <w:webHidden/>
              </w:rPr>
              <w:fldChar w:fldCharType="end"/>
            </w:r>
          </w:hyperlink>
        </w:p>
        <w:p w:rsidR="00756954" w:rsidRDefault="00756954">
          <w:r>
            <w:rPr>
              <w:b/>
              <w:bCs/>
              <w:noProof/>
            </w:rPr>
            <w:fldChar w:fldCharType="end"/>
          </w:r>
        </w:p>
      </w:sdtContent>
    </w:sdt>
    <w:p w:rsidR="00B152AF" w:rsidRPr="00E5089C" w:rsidRDefault="00020B35" w:rsidP="00020B35">
      <w:pPr>
        <w:pStyle w:val="TOCHeading"/>
        <w:rPr>
          <w:rFonts w:hint="eastAsia"/>
        </w:rPr>
      </w:pPr>
      <w:r>
        <w:br w:type="page"/>
      </w:r>
      <w:bookmarkStart w:id="1" w:name="_Toc403992345"/>
      <w:bookmarkStart w:id="2" w:name="_Toc403992580"/>
    </w:p>
    <w:p w:rsidR="00756954" w:rsidRPr="0092528F" w:rsidRDefault="00F61A91" w:rsidP="00AF02E0">
      <w:pPr>
        <w:pStyle w:val="Heading2"/>
        <w:rPr>
          <w:rFonts w:hint="eastAsia"/>
        </w:rPr>
      </w:pPr>
      <w:bookmarkStart w:id="3" w:name="_Toc152164439"/>
      <w:bookmarkEnd w:id="1"/>
      <w:bookmarkEnd w:id="2"/>
      <w:r>
        <w:lastRenderedPageBreak/>
        <w:t>G</w:t>
      </w:r>
      <w:r w:rsidR="00423541">
        <w:t>lobal guests</w:t>
      </w:r>
      <w:r>
        <w:t xml:space="preserve">, </w:t>
      </w:r>
      <w:r w:rsidR="00423541">
        <w:t>greater gains</w:t>
      </w:r>
      <w:bookmarkStart w:id="4" w:name="_Toc403992346"/>
      <w:bookmarkStart w:id="5" w:name="_Toc403992581"/>
      <w:bookmarkStart w:id="6" w:name="_Toc419982220"/>
      <w:bookmarkStart w:id="7" w:name="_Toc419982306"/>
      <w:bookmarkEnd w:id="3"/>
    </w:p>
    <w:p w:rsidR="00F61A91" w:rsidRPr="0092528F" w:rsidRDefault="00F61A91" w:rsidP="0092528F">
      <w:r w:rsidRPr="00F61A91">
        <w:t>As international tourism recovers towards pre-pandemic levels, Melbourne's incredible events, shopping and dining continue to make it every traveller's dream destination. International arrivals are flocking to experience all our city has to offer. International credit card transactions have increased significantly as overseas visitors are splashing out on dining and entertainment and specialised and luxury goods..</w:t>
      </w:r>
    </w:p>
    <w:p w:rsidR="00F61A91" w:rsidRPr="005C3F28" w:rsidRDefault="00F61A91" w:rsidP="0092528F">
      <w:pPr>
        <w:pStyle w:val="Heading5"/>
      </w:pPr>
      <w:r w:rsidRPr="005C3F28">
        <w:t>Global guests</w:t>
      </w:r>
    </w:p>
    <w:p w:rsidR="00F61A91" w:rsidRPr="00F61A91" w:rsidRDefault="0092528F" w:rsidP="0092528F">
      <w:pPr>
        <w:pStyle w:val="Heading3"/>
        <w:rPr>
          <w:rFonts w:hint="eastAsia"/>
        </w:rPr>
      </w:pPr>
      <w:bookmarkStart w:id="8" w:name="_Toc152164440"/>
      <w:r>
        <w:t xml:space="preserve">Table 1 - </w:t>
      </w:r>
      <w:r w:rsidR="00F61A91">
        <w:t>International holiday arrivals in Melbourne</w:t>
      </w:r>
      <w:bookmarkEnd w:id="8"/>
    </w:p>
    <w:tbl>
      <w:tblPr>
        <w:tblStyle w:val="TableGrid"/>
        <w:tblW w:w="0" w:type="auto"/>
        <w:tblLook w:val="04A0" w:firstRow="1" w:lastRow="0" w:firstColumn="1" w:lastColumn="0" w:noHBand="0" w:noVBand="1"/>
      </w:tblPr>
      <w:tblGrid>
        <w:gridCol w:w="1823"/>
        <w:gridCol w:w="1824"/>
      </w:tblGrid>
      <w:tr w:rsidR="00F61A91" w:rsidTr="005C3F28">
        <w:trPr>
          <w:trHeight w:val="415"/>
        </w:trPr>
        <w:tc>
          <w:tcPr>
            <w:tcW w:w="1823" w:type="dxa"/>
          </w:tcPr>
          <w:p w:rsidR="00F61A91" w:rsidRPr="005C3F28" w:rsidRDefault="005C3F28" w:rsidP="0092528F">
            <w:pPr>
              <w:rPr>
                <w:b/>
              </w:rPr>
            </w:pPr>
            <w:r w:rsidRPr="005C3F28">
              <w:rPr>
                <w:b/>
              </w:rPr>
              <w:t>Month</w:t>
            </w:r>
          </w:p>
        </w:tc>
        <w:tc>
          <w:tcPr>
            <w:tcW w:w="1824" w:type="dxa"/>
          </w:tcPr>
          <w:p w:rsidR="00F61A91" w:rsidRPr="005C3F28" w:rsidRDefault="005C3F28" w:rsidP="0092528F">
            <w:pPr>
              <w:rPr>
                <w:b/>
              </w:rPr>
            </w:pPr>
            <w:r w:rsidRPr="005C3F28">
              <w:rPr>
                <w:b/>
              </w:rPr>
              <w:t>Holiday Arrivals</w:t>
            </w:r>
          </w:p>
        </w:tc>
      </w:tr>
      <w:tr w:rsidR="00F61A91" w:rsidTr="005C3F28">
        <w:trPr>
          <w:trHeight w:val="433"/>
        </w:trPr>
        <w:tc>
          <w:tcPr>
            <w:tcW w:w="1823" w:type="dxa"/>
          </w:tcPr>
          <w:p w:rsidR="00F61A91" w:rsidRDefault="005C3F28" w:rsidP="0092528F">
            <w:r>
              <w:t>August 2022</w:t>
            </w:r>
          </w:p>
        </w:tc>
        <w:tc>
          <w:tcPr>
            <w:tcW w:w="1824" w:type="dxa"/>
          </w:tcPr>
          <w:p w:rsidR="00F61A91" w:rsidRDefault="005C3F28" w:rsidP="0092528F">
            <w:r>
              <w:t>22</w:t>
            </w:r>
            <w:r w:rsidR="007F2FF2">
              <w:t>,</w:t>
            </w:r>
            <w:r>
              <w:t>534</w:t>
            </w:r>
          </w:p>
        </w:tc>
      </w:tr>
      <w:tr w:rsidR="00F61A91" w:rsidTr="005C3F28">
        <w:trPr>
          <w:trHeight w:val="415"/>
        </w:trPr>
        <w:tc>
          <w:tcPr>
            <w:tcW w:w="1823" w:type="dxa"/>
          </w:tcPr>
          <w:p w:rsidR="00F61A91" w:rsidRDefault="005C3F28" w:rsidP="0092528F">
            <w:r>
              <w:t>August 2023</w:t>
            </w:r>
          </w:p>
        </w:tc>
        <w:tc>
          <w:tcPr>
            <w:tcW w:w="1824" w:type="dxa"/>
          </w:tcPr>
          <w:p w:rsidR="00F61A91" w:rsidRDefault="005C3F28" w:rsidP="0092528F">
            <w:r>
              <w:t>53</w:t>
            </w:r>
            <w:r w:rsidR="007F2FF2">
              <w:t>,</w:t>
            </w:r>
            <w:r>
              <w:t>719</w:t>
            </w:r>
          </w:p>
        </w:tc>
      </w:tr>
    </w:tbl>
    <w:p w:rsidR="005C3F28" w:rsidRDefault="00A5193E" w:rsidP="0092528F">
      <w:pPr>
        <w:pStyle w:val="ListBullet"/>
      </w:pPr>
      <w:r>
        <w:t>138 per cent</w:t>
      </w:r>
      <w:r w:rsidR="005C3F28">
        <w:t xml:space="preserve"> year on year increase in international holiday arrivals</w:t>
      </w:r>
    </w:p>
    <w:p w:rsidR="005C3F28" w:rsidRPr="00F61A91" w:rsidRDefault="0092528F" w:rsidP="0092528F">
      <w:pPr>
        <w:pStyle w:val="Heading3"/>
        <w:rPr>
          <w:rFonts w:hint="eastAsia"/>
        </w:rPr>
      </w:pPr>
      <w:bookmarkStart w:id="9" w:name="_Toc152164441"/>
      <w:r>
        <w:t xml:space="preserve">Table 2 - </w:t>
      </w:r>
      <w:r w:rsidR="005C3F28">
        <w:t>International visitors of friends and relatives in Melbourne</w:t>
      </w:r>
      <w:bookmarkEnd w:id="9"/>
    </w:p>
    <w:tbl>
      <w:tblPr>
        <w:tblStyle w:val="TableGrid"/>
        <w:tblW w:w="0" w:type="auto"/>
        <w:tblLook w:val="04A0" w:firstRow="1" w:lastRow="0" w:firstColumn="1" w:lastColumn="0" w:noHBand="0" w:noVBand="1"/>
      </w:tblPr>
      <w:tblGrid>
        <w:gridCol w:w="1823"/>
        <w:gridCol w:w="1824"/>
      </w:tblGrid>
      <w:tr w:rsidR="005C3F28" w:rsidTr="0012224B">
        <w:trPr>
          <w:trHeight w:val="415"/>
        </w:trPr>
        <w:tc>
          <w:tcPr>
            <w:tcW w:w="1823" w:type="dxa"/>
          </w:tcPr>
          <w:p w:rsidR="005C3F28" w:rsidRPr="005C3F28" w:rsidRDefault="005C3F28" w:rsidP="0092528F">
            <w:pPr>
              <w:rPr>
                <w:b/>
              </w:rPr>
            </w:pPr>
            <w:r w:rsidRPr="005C3F28">
              <w:rPr>
                <w:b/>
              </w:rPr>
              <w:t>Month</w:t>
            </w:r>
          </w:p>
        </w:tc>
        <w:tc>
          <w:tcPr>
            <w:tcW w:w="1824" w:type="dxa"/>
          </w:tcPr>
          <w:p w:rsidR="005C3F28" w:rsidRPr="005C3F28" w:rsidRDefault="005C3F28" w:rsidP="0092528F">
            <w:pPr>
              <w:rPr>
                <w:b/>
              </w:rPr>
            </w:pPr>
            <w:r w:rsidRPr="005C3F28">
              <w:rPr>
                <w:b/>
              </w:rPr>
              <w:t>Holiday Arrivals</w:t>
            </w:r>
          </w:p>
        </w:tc>
      </w:tr>
      <w:tr w:rsidR="005C3F28" w:rsidTr="0012224B">
        <w:trPr>
          <w:trHeight w:val="433"/>
        </w:trPr>
        <w:tc>
          <w:tcPr>
            <w:tcW w:w="1823" w:type="dxa"/>
          </w:tcPr>
          <w:p w:rsidR="005C3F28" w:rsidRDefault="005C3F28" w:rsidP="0092528F">
            <w:r>
              <w:t>August 2022</w:t>
            </w:r>
          </w:p>
        </w:tc>
        <w:tc>
          <w:tcPr>
            <w:tcW w:w="1824" w:type="dxa"/>
          </w:tcPr>
          <w:p w:rsidR="005C3F28" w:rsidRDefault="005C3F28" w:rsidP="0092528F">
            <w:r>
              <w:t>41</w:t>
            </w:r>
            <w:r w:rsidR="007F2FF2">
              <w:t>,</w:t>
            </w:r>
            <w:r>
              <w:t>289</w:t>
            </w:r>
          </w:p>
        </w:tc>
      </w:tr>
      <w:tr w:rsidR="005C3F28" w:rsidTr="0012224B">
        <w:trPr>
          <w:trHeight w:val="415"/>
        </w:trPr>
        <w:tc>
          <w:tcPr>
            <w:tcW w:w="1823" w:type="dxa"/>
          </w:tcPr>
          <w:p w:rsidR="005C3F28" w:rsidRDefault="005C3F28" w:rsidP="0092528F">
            <w:r>
              <w:t>August 2023</w:t>
            </w:r>
          </w:p>
        </w:tc>
        <w:tc>
          <w:tcPr>
            <w:tcW w:w="1824" w:type="dxa"/>
          </w:tcPr>
          <w:p w:rsidR="005C3F28" w:rsidRDefault="005C3F28" w:rsidP="0092528F">
            <w:r>
              <w:t>56</w:t>
            </w:r>
            <w:r w:rsidR="007F2FF2">
              <w:t>,</w:t>
            </w:r>
            <w:r>
              <w:t>974</w:t>
            </w:r>
          </w:p>
        </w:tc>
      </w:tr>
    </w:tbl>
    <w:p w:rsidR="00F61A91" w:rsidRPr="005C3F28" w:rsidRDefault="00A5193E" w:rsidP="0092528F">
      <w:pPr>
        <w:pStyle w:val="ListBullet"/>
      </w:pPr>
      <w:r>
        <w:t>38 per cent</w:t>
      </w:r>
      <w:r w:rsidR="005C3F28" w:rsidRPr="005C3F28">
        <w:t xml:space="preserve"> year on year increase in international arrivals to visit friends/relatives</w:t>
      </w:r>
    </w:p>
    <w:bookmarkEnd w:id="4"/>
    <w:bookmarkEnd w:id="5"/>
    <w:bookmarkEnd w:id="6"/>
    <w:bookmarkEnd w:id="7"/>
    <w:p w:rsidR="005C3F28" w:rsidRPr="005C3F28" w:rsidRDefault="005C3F28" w:rsidP="007F2FF2">
      <w:pPr>
        <w:pStyle w:val="Heading5"/>
      </w:pPr>
      <w:r>
        <w:t>International spending in Melbourne</w:t>
      </w:r>
    </w:p>
    <w:p w:rsidR="005C3F28" w:rsidRPr="00F61A91" w:rsidRDefault="007F2FF2" w:rsidP="007F2FF2">
      <w:pPr>
        <w:pStyle w:val="Heading3"/>
        <w:rPr>
          <w:rFonts w:hint="eastAsia"/>
        </w:rPr>
      </w:pPr>
      <w:bookmarkStart w:id="10" w:name="_Toc152164442"/>
      <w:r>
        <w:t xml:space="preserve">Table 3 - </w:t>
      </w:r>
      <w:r w:rsidR="005C3F28">
        <w:t>Spending total</w:t>
      </w:r>
      <w:bookmarkEnd w:id="10"/>
    </w:p>
    <w:tbl>
      <w:tblPr>
        <w:tblStyle w:val="TableGrid"/>
        <w:tblW w:w="0" w:type="auto"/>
        <w:tblLook w:val="04A0" w:firstRow="1" w:lastRow="0" w:firstColumn="1" w:lastColumn="0" w:noHBand="0" w:noVBand="1"/>
      </w:tblPr>
      <w:tblGrid>
        <w:gridCol w:w="1823"/>
        <w:gridCol w:w="2062"/>
      </w:tblGrid>
      <w:tr w:rsidR="005C3F28" w:rsidTr="005C3F28">
        <w:trPr>
          <w:trHeight w:val="415"/>
        </w:trPr>
        <w:tc>
          <w:tcPr>
            <w:tcW w:w="1823" w:type="dxa"/>
          </w:tcPr>
          <w:p w:rsidR="005C3F28" w:rsidRPr="005C3F28" w:rsidRDefault="005C3F28" w:rsidP="007F2FF2">
            <w:pPr>
              <w:rPr>
                <w:b/>
              </w:rPr>
            </w:pPr>
            <w:r w:rsidRPr="005C3F28">
              <w:rPr>
                <w:b/>
              </w:rPr>
              <w:t>Month</w:t>
            </w:r>
          </w:p>
        </w:tc>
        <w:tc>
          <w:tcPr>
            <w:tcW w:w="2062" w:type="dxa"/>
          </w:tcPr>
          <w:p w:rsidR="005C3F28" w:rsidRPr="005C3F28" w:rsidRDefault="005C3F28" w:rsidP="007F2FF2">
            <w:pPr>
              <w:rPr>
                <w:b/>
              </w:rPr>
            </w:pPr>
            <w:r>
              <w:rPr>
                <w:b/>
              </w:rPr>
              <w:t>International spend</w:t>
            </w:r>
          </w:p>
        </w:tc>
      </w:tr>
      <w:tr w:rsidR="005C3F28" w:rsidTr="005C3F28">
        <w:trPr>
          <w:trHeight w:val="433"/>
        </w:trPr>
        <w:tc>
          <w:tcPr>
            <w:tcW w:w="1823" w:type="dxa"/>
          </w:tcPr>
          <w:p w:rsidR="005C3F28" w:rsidRDefault="005C3F28" w:rsidP="007F2FF2">
            <w:r>
              <w:t>August 2022</w:t>
            </w:r>
          </w:p>
        </w:tc>
        <w:tc>
          <w:tcPr>
            <w:tcW w:w="2062" w:type="dxa"/>
          </w:tcPr>
          <w:p w:rsidR="005C3F28" w:rsidRDefault="005C3F28" w:rsidP="007F2FF2">
            <w:pPr>
              <w:tabs>
                <w:tab w:val="left" w:pos="991"/>
              </w:tabs>
            </w:pPr>
            <w:r>
              <w:t>$41,253,902</w:t>
            </w:r>
            <w:r>
              <w:tab/>
            </w:r>
          </w:p>
        </w:tc>
      </w:tr>
      <w:tr w:rsidR="005C3F28" w:rsidTr="005C3F28">
        <w:trPr>
          <w:trHeight w:val="415"/>
        </w:trPr>
        <w:tc>
          <w:tcPr>
            <w:tcW w:w="1823" w:type="dxa"/>
          </w:tcPr>
          <w:p w:rsidR="005C3F28" w:rsidRDefault="005C3F28" w:rsidP="007F2FF2">
            <w:r>
              <w:t>August 2023</w:t>
            </w:r>
          </w:p>
        </w:tc>
        <w:tc>
          <w:tcPr>
            <w:tcW w:w="2062" w:type="dxa"/>
          </w:tcPr>
          <w:p w:rsidR="005C3F28" w:rsidRDefault="005C3F28" w:rsidP="007F2FF2">
            <w:r>
              <w:t>$72,989,849</w:t>
            </w:r>
          </w:p>
        </w:tc>
      </w:tr>
    </w:tbl>
    <w:p w:rsidR="005C3F28" w:rsidRPr="005C3F28" w:rsidRDefault="005C3F28" w:rsidP="007F2FF2">
      <w:pPr>
        <w:pStyle w:val="ListBullet"/>
      </w:pPr>
      <w:r>
        <w:t>77</w:t>
      </w:r>
      <w:r w:rsidR="00A5193E">
        <w:t xml:space="preserve"> per cent</w:t>
      </w:r>
      <w:r w:rsidRPr="005C3F28">
        <w:t xml:space="preserve"> year on year increase in international</w:t>
      </w:r>
      <w:r>
        <w:t xml:space="preserve"> visitor spend</w:t>
      </w:r>
    </w:p>
    <w:p w:rsidR="005C3F28" w:rsidRPr="00F61A91" w:rsidRDefault="007F2FF2" w:rsidP="007F2FF2">
      <w:pPr>
        <w:pStyle w:val="Heading3"/>
        <w:rPr>
          <w:rFonts w:hint="eastAsia"/>
        </w:rPr>
      </w:pPr>
      <w:bookmarkStart w:id="11" w:name="_Toc152164443"/>
      <w:r>
        <w:t xml:space="preserve">Table 4 - </w:t>
      </w:r>
      <w:r w:rsidR="005C3F28">
        <w:t>Spending by key categories</w:t>
      </w:r>
      <w:bookmarkEnd w:id="11"/>
    </w:p>
    <w:tbl>
      <w:tblPr>
        <w:tblStyle w:val="TableGrid"/>
        <w:tblW w:w="0" w:type="auto"/>
        <w:tblLook w:val="04A0" w:firstRow="1" w:lastRow="0" w:firstColumn="1" w:lastColumn="0" w:noHBand="0" w:noVBand="1"/>
      </w:tblPr>
      <w:tblGrid>
        <w:gridCol w:w="1823"/>
        <w:gridCol w:w="2770"/>
        <w:gridCol w:w="1843"/>
      </w:tblGrid>
      <w:tr w:rsidR="005C3F28" w:rsidTr="00260A86">
        <w:trPr>
          <w:trHeight w:val="415"/>
        </w:trPr>
        <w:tc>
          <w:tcPr>
            <w:tcW w:w="1823" w:type="dxa"/>
          </w:tcPr>
          <w:p w:rsidR="005C3F28" w:rsidRPr="005C3F28" w:rsidRDefault="005C3F28" w:rsidP="0012224B">
            <w:pPr>
              <w:rPr>
                <w:b/>
              </w:rPr>
            </w:pPr>
            <w:r w:rsidRPr="005C3F28">
              <w:rPr>
                <w:b/>
              </w:rPr>
              <w:t>Month</w:t>
            </w:r>
          </w:p>
        </w:tc>
        <w:tc>
          <w:tcPr>
            <w:tcW w:w="2770" w:type="dxa"/>
          </w:tcPr>
          <w:p w:rsidR="005C3F28" w:rsidRDefault="005C3F28" w:rsidP="0012224B">
            <w:pPr>
              <w:rPr>
                <w:b/>
              </w:rPr>
            </w:pPr>
            <w:r>
              <w:rPr>
                <w:b/>
              </w:rPr>
              <w:t>Category</w:t>
            </w:r>
          </w:p>
        </w:tc>
        <w:tc>
          <w:tcPr>
            <w:tcW w:w="1843" w:type="dxa"/>
          </w:tcPr>
          <w:p w:rsidR="005C3F28" w:rsidRPr="005C3F28" w:rsidRDefault="005C3F28" w:rsidP="0012224B">
            <w:pPr>
              <w:rPr>
                <w:b/>
              </w:rPr>
            </w:pPr>
            <w:r>
              <w:rPr>
                <w:b/>
              </w:rPr>
              <w:t>International spend</w:t>
            </w:r>
          </w:p>
        </w:tc>
      </w:tr>
      <w:tr w:rsidR="005C3F28" w:rsidTr="00260A86">
        <w:trPr>
          <w:trHeight w:val="433"/>
        </w:trPr>
        <w:tc>
          <w:tcPr>
            <w:tcW w:w="1823" w:type="dxa"/>
          </w:tcPr>
          <w:p w:rsidR="005C3F28" w:rsidRDefault="005C3F28" w:rsidP="0012224B">
            <w:r>
              <w:t>August 2022</w:t>
            </w:r>
          </w:p>
        </w:tc>
        <w:tc>
          <w:tcPr>
            <w:tcW w:w="2770" w:type="dxa"/>
          </w:tcPr>
          <w:p w:rsidR="005C3F28" w:rsidRDefault="00260A86" w:rsidP="0012224B">
            <w:pPr>
              <w:tabs>
                <w:tab w:val="left" w:pos="991"/>
              </w:tabs>
            </w:pPr>
            <w:r>
              <w:t>Dining &amp; Entertainment</w:t>
            </w:r>
          </w:p>
        </w:tc>
        <w:tc>
          <w:tcPr>
            <w:tcW w:w="1843" w:type="dxa"/>
          </w:tcPr>
          <w:p w:rsidR="005C3F28" w:rsidRDefault="00260A86" w:rsidP="0012224B">
            <w:pPr>
              <w:tabs>
                <w:tab w:val="left" w:pos="991"/>
              </w:tabs>
            </w:pPr>
            <w:r>
              <w:t>$14,968,977</w:t>
            </w:r>
            <w:r w:rsidR="005C3F28">
              <w:tab/>
            </w:r>
          </w:p>
        </w:tc>
      </w:tr>
      <w:tr w:rsidR="00260A86" w:rsidTr="00260A86">
        <w:trPr>
          <w:trHeight w:val="415"/>
        </w:trPr>
        <w:tc>
          <w:tcPr>
            <w:tcW w:w="1823" w:type="dxa"/>
          </w:tcPr>
          <w:p w:rsidR="00260A86" w:rsidRDefault="00260A86" w:rsidP="00260A86">
            <w:r>
              <w:t>August 2023</w:t>
            </w:r>
          </w:p>
        </w:tc>
        <w:tc>
          <w:tcPr>
            <w:tcW w:w="2770" w:type="dxa"/>
          </w:tcPr>
          <w:p w:rsidR="00260A86" w:rsidRDefault="00260A86" w:rsidP="00260A86">
            <w:pPr>
              <w:tabs>
                <w:tab w:val="left" w:pos="991"/>
              </w:tabs>
            </w:pPr>
            <w:r>
              <w:t>Dining &amp; Entertainment</w:t>
            </w:r>
          </w:p>
        </w:tc>
        <w:tc>
          <w:tcPr>
            <w:tcW w:w="1843" w:type="dxa"/>
          </w:tcPr>
          <w:p w:rsidR="00260A86" w:rsidRDefault="00260A86" w:rsidP="00260A86">
            <w:r>
              <w:t>$27,278,676</w:t>
            </w:r>
          </w:p>
        </w:tc>
      </w:tr>
      <w:tr w:rsidR="00260A86" w:rsidTr="00260A86">
        <w:trPr>
          <w:trHeight w:val="415"/>
        </w:trPr>
        <w:tc>
          <w:tcPr>
            <w:tcW w:w="1823" w:type="dxa"/>
          </w:tcPr>
          <w:p w:rsidR="00260A86" w:rsidRDefault="00260A86" w:rsidP="00260A86">
            <w:r>
              <w:t>August 2022</w:t>
            </w:r>
          </w:p>
        </w:tc>
        <w:tc>
          <w:tcPr>
            <w:tcW w:w="2770" w:type="dxa"/>
          </w:tcPr>
          <w:p w:rsidR="00260A86" w:rsidRDefault="00260A86" w:rsidP="00260A86">
            <w:pPr>
              <w:tabs>
                <w:tab w:val="left" w:pos="991"/>
              </w:tabs>
            </w:pPr>
            <w:r>
              <w:t>Specialised &amp; Luxury Goods</w:t>
            </w:r>
          </w:p>
        </w:tc>
        <w:tc>
          <w:tcPr>
            <w:tcW w:w="1843" w:type="dxa"/>
          </w:tcPr>
          <w:p w:rsidR="00260A86" w:rsidRDefault="00260A86" w:rsidP="00260A86">
            <w:pPr>
              <w:tabs>
                <w:tab w:val="left" w:pos="991"/>
              </w:tabs>
            </w:pPr>
            <w:r>
              <w:t>$4,437,442</w:t>
            </w:r>
            <w:r>
              <w:tab/>
            </w:r>
          </w:p>
        </w:tc>
      </w:tr>
      <w:tr w:rsidR="00260A86" w:rsidTr="00260A86">
        <w:trPr>
          <w:trHeight w:val="415"/>
        </w:trPr>
        <w:tc>
          <w:tcPr>
            <w:tcW w:w="1823" w:type="dxa"/>
          </w:tcPr>
          <w:p w:rsidR="00260A86" w:rsidRDefault="00260A86" w:rsidP="00260A86">
            <w:r>
              <w:lastRenderedPageBreak/>
              <w:t>August 2023</w:t>
            </w:r>
          </w:p>
        </w:tc>
        <w:tc>
          <w:tcPr>
            <w:tcW w:w="2770" w:type="dxa"/>
          </w:tcPr>
          <w:p w:rsidR="00260A86" w:rsidRDefault="00260A86" w:rsidP="00260A86">
            <w:pPr>
              <w:tabs>
                <w:tab w:val="left" w:pos="991"/>
              </w:tabs>
            </w:pPr>
            <w:r>
              <w:t>Specialised &amp; Luxury Goods</w:t>
            </w:r>
          </w:p>
        </w:tc>
        <w:tc>
          <w:tcPr>
            <w:tcW w:w="1843" w:type="dxa"/>
          </w:tcPr>
          <w:p w:rsidR="00260A86" w:rsidRDefault="00260A86" w:rsidP="00260A86">
            <w:r>
              <w:t>$11,493,028</w:t>
            </w:r>
          </w:p>
        </w:tc>
      </w:tr>
    </w:tbl>
    <w:p w:rsidR="00BE6801" w:rsidRPr="00AF02E0" w:rsidRDefault="000C1D7A" w:rsidP="00F61A91">
      <w:pPr>
        <w:pStyle w:val="Heading2"/>
        <w:rPr>
          <w:rFonts w:hint="eastAsia"/>
        </w:rPr>
      </w:pPr>
      <w:bookmarkStart w:id="12" w:name="_Toc152164444"/>
      <w:r>
        <w:t>B</w:t>
      </w:r>
      <w:r w:rsidR="00423541">
        <w:t>rain boost</w:t>
      </w:r>
      <w:r>
        <w:t>: K</w:t>
      </w:r>
      <w:r w:rsidR="00423541">
        <w:t>nowledge jobs increase</w:t>
      </w:r>
      <w:bookmarkEnd w:id="12"/>
    </w:p>
    <w:p w:rsidR="000C1D7A" w:rsidRDefault="000C1D7A" w:rsidP="000C1D7A">
      <w:r>
        <w:t>Our city's capacity as a smart place to do business continues to grow, with knowledge-based employment now making up the majority of jobs within our skilled workforce. Our knowledge economy is thriving and now accounts for 70 per cent of Melbourne's Gross Regional Product (GRP). This is the engine of our city's economy, driving street-level activity, while also attracting big investors, smart startups and new business ventures.</w:t>
      </w:r>
    </w:p>
    <w:p w:rsidR="000C1D7A" w:rsidRPr="00F61A91" w:rsidRDefault="007F2FF2" w:rsidP="0092528F">
      <w:pPr>
        <w:pStyle w:val="Heading3"/>
        <w:rPr>
          <w:rFonts w:hint="eastAsia"/>
        </w:rPr>
      </w:pPr>
      <w:bookmarkStart w:id="13" w:name="_Toc152164445"/>
      <w:r>
        <w:t>Table 5</w:t>
      </w:r>
      <w:r w:rsidR="0092528F">
        <w:t xml:space="preserve"> - </w:t>
      </w:r>
      <w:r w:rsidR="000C1D7A">
        <w:t>Knowledge jobs total</w:t>
      </w:r>
      <w:bookmarkEnd w:id="13"/>
    </w:p>
    <w:tbl>
      <w:tblPr>
        <w:tblStyle w:val="TableGrid"/>
        <w:tblW w:w="0" w:type="auto"/>
        <w:tblLook w:val="04A0" w:firstRow="1" w:lastRow="0" w:firstColumn="1" w:lastColumn="0" w:noHBand="0" w:noVBand="1"/>
      </w:tblPr>
      <w:tblGrid>
        <w:gridCol w:w="1823"/>
        <w:gridCol w:w="2992"/>
      </w:tblGrid>
      <w:tr w:rsidR="000C1D7A" w:rsidTr="000C1D7A">
        <w:trPr>
          <w:trHeight w:val="415"/>
        </w:trPr>
        <w:tc>
          <w:tcPr>
            <w:tcW w:w="1823" w:type="dxa"/>
          </w:tcPr>
          <w:p w:rsidR="000C1D7A" w:rsidRPr="005C3F28" w:rsidRDefault="000C1D7A" w:rsidP="0012224B">
            <w:pPr>
              <w:rPr>
                <w:b/>
              </w:rPr>
            </w:pPr>
            <w:r>
              <w:rPr>
                <w:b/>
              </w:rPr>
              <w:t>Year</w:t>
            </w:r>
          </w:p>
        </w:tc>
        <w:tc>
          <w:tcPr>
            <w:tcW w:w="2992" w:type="dxa"/>
          </w:tcPr>
          <w:p w:rsidR="000C1D7A" w:rsidRPr="005C3F28" w:rsidRDefault="000C1D7A" w:rsidP="000C1D7A">
            <w:pPr>
              <w:rPr>
                <w:b/>
              </w:rPr>
            </w:pPr>
            <w:r>
              <w:rPr>
                <w:b/>
              </w:rPr>
              <w:t>Full Time Equivalent Jobs</w:t>
            </w:r>
          </w:p>
        </w:tc>
      </w:tr>
      <w:tr w:rsidR="000C1D7A" w:rsidTr="000C1D7A">
        <w:trPr>
          <w:trHeight w:val="433"/>
        </w:trPr>
        <w:tc>
          <w:tcPr>
            <w:tcW w:w="1823" w:type="dxa"/>
          </w:tcPr>
          <w:p w:rsidR="000C1D7A" w:rsidRDefault="000C1D7A" w:rsidP="0012224B">
            <w:r>
              <w:t>2018/19</w:t>
            </w:r>
          </w:p>
        </w:tc>
        <w:tc>
          <w:tcPr>
            <w:tcW w:w="2992" w:type="dxa"/>
          </w:tcPr>
          <w:p w:rsidR="000C1D7A" w:rsidRDefault="000C1D7A" w:rsidP="000C1D7A">
            <w:pPr>
              <w:tabs>
                <w:tab w:val="left" w:pos="991"/>
              </w:tabs>
            </w:pPr>
            <w:r>
              <w:t>318,236</w:t>
            </w:r>
            <w:r>
              <w:tab/>
            </w:r>
          </w:p>
        </w:tc>
      </w:tr>
      <w:tr w:rsidR="000C1D7A" w:rsidTr="000C1D7A">
        <w:trPr>
          <w:trHeight w:val="415"/>
        </w:trPr>
        <w:tc>
          <w:tcPr>
            <w:tcW w:w="1823" w:type="dxa"/>
          </w:tcPr>
          <w:p w:rsidR="000C1D7A" w:rsidRDefault="000C1D7A" w:rsidP="0012224B">
            <w:r>
              <w:t>2012/22</w:t>
            </w:r>
          </w:p>
        </w:tc>
        <w:tc>
          <w:tcPr>
            <w:tcW w:w="2992" w:type="dxa"/>
          </w:tcPr>
          <w:p w:rsidR="000C1D7A" w:rsidRDefault="000C1D7A" w:rsidP="0012224B">
            <w:r>
              <w:t>349,088</w:t>
            </w:r>
          </w:p>
        </w:tc>
      </w:tr>
    </w:tbl>
    <w:p w:rsidR="000C1D7A" w:rsidRPr="00F61A91" w:rsidRDefault="007F2FF2" w:rsidP="0092528F">
      <w:pPr>
        <w:pStyle w:val="Heading3"/>
        <w:rPr>
          <w:rFonts w:hint="eastAsia"/>
        </w:rPr>
      </w:pPr>
      <w:bookmarkStart w:id="14" w:name="_Toc152164446"/>
      <w:r>
        <w:t>Table 6</w:t>
      </w:r>
      <w:r w:rsidR="0092528F">
        <w:t xml:space="preserve"> - Knowledge jobs by category</w:t>
      </w:r>
      <w:bookmarkEnd w:id="14"/>
    </w:p>
    <w:tbl>
      <w:tblPr>
        <w:tblStyle w:val="TableGrid"/>
        <w:tblW w:w="0" w:type="auto"/>
        <w:tblLook w:val="04A0" w:firstRow="1" w:lastRow="0" w:firstColumn="1" w:lastColumn="0" w:noHBand="0" w:noVBand="1"/>
      </w:tblPr>
      <w:tblGrid>
        <w:gridCol w:w="1823"/>
        <w:gridCol w:w="3134"/>
        <w:gridCol w:w="2850"/>
      </w:tblGrid>
      <w:tr w:rsidR="000C1D7A" w:rsidTr="000C1D7A">
        <w:trPr>
          <w:trHeight w:val="415"/>
        </w:trPr>
        <w:tc>
          <w:tcPr>
            <w:tcW w:w="1823" w:type="dxa"/>
          </w:tcPr>
          <w:p w:rsidR="000C1D7A" w:rsidRPr="005C3F28" w:rsidRDefault="000C1D7A" w:rsidP="0012224B">
            <w:pPr>
              <w:rPr>
                <w:b/>
              </w:rPr>
            </w:pPr>
            <w:r>
              <w:rPr>
                <w:b/>
              </w:rPr>
              <w:t>Year</w:t>
            </w:r>
          </w:p>
        </w:tc>
        <w:tc>
          <w:tcPr>
            <w:tcW w:w="3134" w:type="dxa"/>
          </w:tcPr>
          <w:p w:rsidR="000C1D7A" w:rsidRDefault="000C1D7A" w:rsidP="0012224B">
            <w:pPr>
              <w:rPr>
                <w:b/>
              </w:rPr>
            </w:pPr>
            <w:r>
              <w:rPr>
                <w:b/>
              </w:rPr>
              <w:t>Category</w:t>
            </w:r>
          </w:p>
        </w:tc>
        <w:tc>
          <w:tcPr>
            <w:tcW w:w="2850" w:type="dxa"/>
          </w:tcPr>
          <w:p w:rsidR="000C1D7A" w:rsidRPr="005C3F28" w:rsidRDefault="000C1D7A" w:rsidP="0012224B">
            <w:pPr>
              <w:rPr>
                <w:b/>
              </w:rPr>
            </w:pPr>
            <w:r>
              <w:rPr>
                <w:b/>
              </w:rPr>
              <w:t>Full Time Equivalent Jobs</w:t>
            </w:r>
          </w:p>
        </w:tc>
      </w:tr>
      <w:tr w:rsidR="000C1D7A" w:rsidTr="000C1D7A">
        <w:trPr>
          <w:trHeight w:val="433"/>
        </w:trPr>
        <w:tc>
          <w:tcPr>
            <w:tcW w:w="1823" w:type="dxa"/>
          </w:tcPr>
          <w:p w:rsidR="000C1D7A" w:rsidRDefault="000C1D7A" w:rsidP="0012224B">
            <w:r>
              <w:t>2018/19</w:t>
            </w:r>
          </w:p>
        </w:tc>
        <w:tc>
          <w:tcPr>
            <w:tcW w:w="3134" w:type="dxa"/>
          </w:tcPr>
          <w:p w:rsidR="000C1D7A" w:rsidRDefault="000C1D7A" w:rsidP="0012224B">
            <w:pPr>
              <w:tabs>
                <w:tab w:val="left" w:pos="991"/>
              </w:tabs>
            </w:pPr>
            <w:r>
              <w:t>Professional, scientific and technical services</w:t>
            </w:r>
          </w:p>
        </w:tc>
        <w:tc>
          <w:tcPr>
            <w:tcW w:w="2850" w:type="dxa"/>
          </w:tcPr>
          <w:p w:rsidR="000C1D7A" w:rsidRDefault="000C1D7A" w:rsidP="0012224B">
            <w:pPr>
              <w:tabs>
                <w:tab w:val="left" w:pos="991"/>
              </w:tabs>
            </w:pPr>
            <w:r>
              <w:t>115,216</w:t>
            </w:r>
          </w:p>
        </w:tc>
      </w:tr>
      <w:tr w:rsidR="000C1D7A" w:rsidTr="000C1D7A">
        <w:trPr>
          <w:trHeight w:val="415"/>
        </w:trPr>
        <w:tc>
          <w:tcPr>
            <w:tcW w:w="1823" w:type="dxa"/>
          </w:tcPr>
          <w:p w:rsidR="000C1D7A" w:rsidRDefault="000C1D7A" w:rsidP="000C1D7A">
            <w:r>
              <w:t>2012/22</w:t>
            </w:r>
          </w:p>
        </w:tc>
        <w:tc>
          <w:tcPr>
            <w:tcW w:w="3134" w:type="dxa"/>
          </w:tcPr>
          <w:p w:rsidR="000C1D7A" w:rsidRDefault="000C1D7A" w:rsidP="000C1D7A">
            <w:pPr>
              <w:tabs>
                <w:tab w:val="left" w:pos="991"/>
              </w:tabs>
            </w:pPr>
            <w:r>
              <w:t>Professional, scientific and technical services</w:t>
            </w:r>
          </w:p>
        </w:tc>
        <w:tc>
          <w:tcPr>
            <w:tcW w:w="2850" w:type="dxa"/>
          </w:tcPr>
          <w:p w:rsidR="000C1D7A" w:rsidRDefault="000C1D7A" w:rsidP="000C1D7A">
            <w:r>
              <w:t>130,551</w:t>
            </w:r>
          </w:p>
        </w:tc>
      </w:tr>
      <w:tr w:rsidR="000C1D7A" w:rsidTr="000C1D7A">
        <w:trPr>
          <w:trHeight w:val="415"/>
        </w:trPr>
        <w:tc>
          <w:tcPr>
            <w:tcW w:w="1823" w:type="dxa"/>
          </w:tcPr>
          <w:p w:rsidR="000C1D7A" w:rsidRDefault="000C1D7A" w:rsidP="000C1D7A">
            <w:r>
              <w:t>2018/19</w:t>
            </w:r>
          </w:p>
        </w:tc>
        <w:tc>
          <w:tcPr>
            <w:tcW w:w="3134" w:type="dxa"/>
          </w:tcPr>
          <w:p w:rsidR="000C1D7A" w:rsidRDefault="000C1D7A" w:rsidP="000C1D7A">
            <w:r>
              <w:t>Financial and insurance services</w:t>
            </w:r>
          </w:p>
        </w:tc>
        <w:tc>
          <w:tcPr>
            <w:tcW w:w="2850" w:type="dxa"/>
          </w:tcPr>
          <w:p w:rsidR="000C1D7A" w:rsidRDefault="000C1D7A" w:rsidP="000C1D7A">
            <w:r>
              <w:t>70,565</w:t>
            </w:r>
          </w:p>
        </w:tc>
      </w:tr>
      <w:tr w:rsidR="000C1D7A" w:rsidTr="000C1D7A">
        <w:trPr>
          <w:trHeight w:val="415"/>
        </w:trPr>
        <w:tc>
          <w:tcPr>
            <w:tcW w:w="1823" w:type="dxa"/>
          </w:tcPr>
          <w:p w:rsidR="000C1D7A" w:rsidRDefault="000C1D7A" w:rsidP="000C1D7A">
            <w:r>
              <w:t>2012/22</w:t>
            </w:r>
          </w:p>
        </w:tc>
        <w:tc>
          <w:tcPr>
            <w:tcW w:w="3134" w:type="dxa"/>
          </w:tcPr>
          <w:p w:rsidR="000C1D7A" w:rsidRDefault="000C1D7A" w:rsidP="000C1D7A">
            <w:r>
              <w:t>Financial and insurance services</w:t>
            </w:r>
          </w:p>
        </w:tc>
        <w:tc>
          <w:tcPr>
            <w:tcW w:w="2850" w:type="dxa"/>
          </w:tcPr>
          <w:p w:rsidR="000C1D7A" w:rsidRDefault="000C1D7A" w:rsidP="000C1D7A">
            <w:r>
              <w:t>88,685</w:t>
            </w:r>
          </w:p>
        </w:tc>
      </w:tr>
      <w:tr w:rsidR="000C1D7A" w:rsidTr="000C1D7A">
        <w:trPr>
          <w:trHeight w:val="415"/>
        </w:trPr>
        <w:tc>
          <w:tcPr>
            <w:tcW w:w="1823" w:type="dxa"/>
          </w:tcPr>
          <w:p w:rsidR="000C1D7A" w:rsidRDefault="000C1D7A" w:rsidP="000C1D7A">
            <w:r>
              <w:t>2018/19</w:t>
            </w:r>
          </w:p>
        </w:tc>
        <w:tc>
          <w:tcPr>
            <w:tcW w:w="3134" w:type="dxa"/>
          </w:tcPr>
          <w:p w:rsidR="000C1D7A" w:rsidRDefault="000C1D7A" w:rsidP="000C1D7A">
            <w:r>
              <w:t>Public administration and safety</w:t>
            </w:r>
          </w:p>
        </w:tc>
        <w:tc>
          <w:tcPr>
            <w:tcW w:w="2850" w:type="dxa"/>
          </w:tcPr>
          <w:p w:rsidR="000C1D7A" w:rsidRDefault="000C1D7A" w:rsidP="000C1D7A">
            <w:r>
              <w:t>52,187</w:t>
            </w:r>
          </w:p>
        </w:tc>
      </w:tr>
      <w:tr w:rsidR="000C1D7A" w:rsidTr="000C1D7A">
        <w:trPr>
          <w:trHeight w:val="415"/>
        </w:trPr>
        <w:tc>
          <w:tcPr>
            <w:tcW w:w="1823" w:type="dxa"/>
          </w:tcPr>
          <w:p w:rsidR="000C1D7A" w:rsidRDefault="000C1D7A" w:rsidP="000C1D7A">
            <w:r>
              <w:t>2012/22</w:t>
            </w:r>
          </w:p>
        </w:tc>
        <w:tc>
          <w:tcPr>
            <w:tcW w:w="3134" w:type="dxa"/>
          </w:tcPr>
          <w:p w:rsidR="000C1D7A" w:rsidRDefault="000C1D7A" w:rsidP="000C1D7A">
            <w:r>
              <w:t>Public administration and safety</w:t>
            </w:r>
          </w:p>
        </w:tc>
        <w:tc>
          <w:tcPr>
            <w:tcW w:w="2850" w:type="dxa"/>
          </w:tcPr>
          <w:p w:rsidR="000C1D7A" w:rsidRDefault="000C1D7A" w:rsidP="000C1D7A">
            <w:r>
              <w:t>59,262</w:t>
            </w:r>
          </w:p>
        </w:tc>
      </w:tr>
    </w:tbl>
    <w:p w:rsidR="00A5193E" w:rsidRPr="005C3F28" w:rsidRDefault="00A5193E" w:rsidP="00A5193E">
      <w:pPr>
        <w:pStyle w:val="ListBullet"/>
      </w:pPr>
      <w:r>
        <w:t>10 per cent increase in knowledge jobs</w:t>
      </w:r>
    </w:p>
    <w:p w:rsidR="00A5193E" w:rsidRPr="005C3F28" w:rsidRDefault="00A5193E" w:rsidP="00A5193E">
      <w:pPr>
        <w:pStyle w:val="ListBullet"/>
      </w:pPr>
      <w:r>
        <w:t>13 per cent increase in professional, scientific and technical services</w:t>
      </w:r>
    </w:p>
    <w:p w:rsidR="00A5193E" w:rsidRPr="005C3F28" w:rsidRDefault="00A5193E" w:rsidP="00A5193E">
      <w:pPr>
        <w:pStyle w:val="ListBullet"/>
      </w:pPr>
      <w:r>
        <w:t>3 per cent increase in total jobs</w:t>
      </w:r>
    </w:p>
    <w:p w:rsidR="00A5193E" w:rsidRPr="00AF02E0" w:rsidRDefault="00A5193E" w:rsidP="00A5193E">
      <w:pPr>
        <w:pStyle w:val="Heading2"/>
        <w:rPr>
          <w:rFonts w:hint="eastAsia"/>
        </w:rPr>
      </w:pPr>
      <w:bookmarkStart w:id="15" w:name="_Toc152164447"/>
      <w:r>
        <w:t>L</w:t>
      </w:r>
      <w:r w:rsidR="00423541">
        <w:t>iving large</w:t>
      </w:r>
      <w:r>
        <w:t>: R</w:t>
      </w:r>
      <w:r w:rsidR="00423541">
        <w:t>esidential room</w:t>
      </w:r>
      <w:bookmarkEnd w:id="15"/>
    </w:p>
    <w:p w:rsidR="00A5193E" w:rsidRDefault="00A5193E" w:rsidP="00A5193E">
      <w:pPr>
        <w:pStyle w:val="Heading4"/>
        <w:rPr>
          <w:rFonts w:ascii="Arial" w:hAnsi="Arial"/>
          <w:bCs w:val="0"/>
          <w:szCs w:val="24"/>
          <w:lang w:val="en-AU"/>
        </w:rPr>
      </w:pPr>
      <w:r w:rsidRPr="00A5193E">
        <w:rPr>
          <w:rFonts w:ascii="Arial" w:hAnsi="Arial"/>
          <w:bCs w:val="0"/>
          <w:szCs w:val="24"/>
          <w:lang w:val="en-AU"/>
        </w:rPr>
        <w:t>The economic output of city residents has increased by 53 per cent in the last decade. Residential floor space has increased by 75 per cent, giving more people the opportunity to call Melbourne home. These newcomers are building their lives in the city - spending, working and investing in the local economy. This expansion will continue with the City of Melbourne's projections showing our residential population doubling by 2041.</w:t>
      </w:r>
    </w:p>
    <w:p w:rsidR="00A5193E" w:rsidRPr="00A5193E" w:rsidRDefault="00A5193E" w:rsidP="00A5193E"/>
    <w:p w:rsidR="00A5193E" w:rsidRDefault="00A5193E" w:rsidP="00A5193E">
      <w:pPr>
        <w:pStyle w:val="Heading4"/>
        <w:rPr>
          <w:rFonts w:hint="eastAsia"/>
        </w:rPr>
      </w:pPr>
      <w:r>
        <w:lastRenderedPageBreak/>
        <w:t>Gross Regional Product (GRP) generated by local residents (2002 to 2022)</w:t>
      </w:r>
    </w:p>
    <w:p w:rsidR="00A5193E" w:rsidRPr="00A5193E" w:rsidRDefault="007F2FF2" w:rsidP="0092528F">
      <w:pPr>
        <w:pStyle w:val="Heading3"/>
        <w:rPr>
          <w:rFonts w:hint="eastAsia"/>
        </w:rPr>
      </w:pPr>
      <w:bookmarkStart w:id="16" w:name="_Toc152164448"/>
      <w:r>
        <w:t>Table 7</w:t>
      </w:r>
      <w:r w:rsidR="0092528F">
        <w:t xml:space="preserve"> - </w:t>
      </w:r>
      <w:r w:rsidR="0092528F" w:rsidRPr="0092528F">
        <w:t>Gross Regional Product (GRP) generated by local residents (2002 to 2022)</w:t>
      </w:r>
      <w:bookmarkEnd w:id="16"/>
    </w:p>
    <w:tbl>
      <w:tblPr>
        <w:tblStyle w:val="TableGrid"/>
        <w:tblW w:w="0" w:type="auto"/>
        <w:tblLook w:val="04A0" w:firstRow="1" w:lastRow="0" w:firstColumn="1" w:lastColumn="0" w:noHBand="0" w:noVBand="1"/>
      </w:tblPr>
      <w:tblGrid>
        <w:gridCol w:w="1823"/>
        <w:gridCol w:w="2992"/>
      </w:tblGrid>
      <w:tr w:rsidR="00A5193E" w:rsidTr="0012224B">
        <w:trPr>
          <w:trHeight w:val="415"/>
        </w:trPr>
        <w:tc>
          <w:tcPr>
            <w:tcW w:w="1823" w:type="dxa"/>
          </w:tcPr>
          <w:p w:rsidR="00A5193E" w:rsidRPr="005C3F28" w:rsidRDefault="00A5193E" w:rsidP="0012224B">
            <w:pPr>
              <w:rPr>
                <w:b/>
              </w:rPr>
            </w:pPr>
            <w:r>
              <w:rPr>
                <w:b/>
              </w:rPr>
              <w:t>FY Year</w:t>
            </w:r>
          </w:p>
        </w:tc>
        <w:tc>
          <w:tcPr>
            <w:tcW w:w="2992" w:type="dxa"/>
          </w:tcPr>
          <w:p w:rsidR="00A5193E" w:rsidRPr="005C3F28" w:rsidRDefault="00A5193E" w:rsidP="0012224B">
            <w:pPr>
              <w:rPr>
                <w:b/>
              </w:rPr>
            </w:pPr>
            <w:r>
              <w:rPr>
                <w:b/>
              </w:rPr>
              <w:t>Local Residents GRP $</w:t>
            </w:r>
          </w:p>
        </w:tc>
      </w:tr>
      <w:tr w:rsidR="00A5193E" w:rsidTr="0012224B">
        <w:trPr>
          <w:trHeight w:val="433"/>
        </w:trPr>
        <w:tc>
          <w:tcPr>
            <w:tcW w:w="1823" w:type="dxa"/>
          </w:tcPr>
          <w:p w:rsidR="00A5193E" w:rsidRDefault="00A5193E" w:rsidP="0012224B">
            <w:r>
              <w:t>2002</w:t>
            </w:r>
          </w:p>
        </w:tc>
        <w:tc>
          <w:tcPr>
            <w:tcW w:w="2992" w:type="dxa"/>
          </w:tcPr>
          <w:p w:rsidR="00A5193E" w:rsidRDefault="00A5193E" w:rsidP="0012224B">
            <w:pPr>
              <w:tabs>
                <w:tab w:val="left" w:pos="991"/>
              </w:tabs>
            </w:pPr>
            <w:r>
              <w:t>$3,569,000,000</w:t>
            </w:r>
            <w:r>
              <w:tab/>
            </w:r>
          </w:p>
        </w:tc>
      </w:tr>
      <w:tr w:rsidR="00A5193E" w:rsidTr="0012224B">
        <w:trPr>
          <w:trHeight w:val="415"/>
        </w:trPr>
        <w:tc>
          <w:tcPr>
            <w:tcW w:w="1823" w:type="dxa"/>
          </w:tcPr>
          <w:p w:rsidR="00A5193E" w:rsidRDefault="00A5193E" w:rsidP="0012224B">
            <w:r>
              <w:t>2007</w:t>
            </w:r>
          </w:p>
        </w:tc>
        <w:tc>
          <w:tcPr>
            <w:tcW w:w="2992" w:type="dxa"/>
          </w:tcPr>
          <w:p w:rsidR="00A5193E" w:rsidRDefault="00A5193E" w:rsidP="0012224B">
            <w:r>
              <w:t>$6,054,000,000</w:t>
            </w:r>
          </w:p>
        </w:tc>
      </w:tr>
      <w:tr w:rsidR="00A5193E" w:rsidTr="0012224B">
        <w:trPr>
          <w:trHeight w:val="433"/>
        </w:trPr>
        <w:tc>
          <w:tcPr>
            <w:tcW w:w="1823" w:type="dxa"/>
          </w:tcPr>
          <w:p w:rsidR="00A5193E" w:rsidRDefault="00A5193E" w:rsidP="0012224B">
            <w:r>
              <w:t>2012</w:t>
            </w:r>
          </w:p>
        </w:tc>
        <w:tc>
          <w:tcPr>
            <w:tcW w:w="2992" w:type="dxa"/>
          </w:tcPr>
          <w:p w:rsidR="00A5193E" w:rsidRDefault="00A5193E" w:rsidP="0012224B">
            <w:pPr>
              <w:tabs>
                <w:tab w:val="left" w:pos="991"/>
              </w:tabs>
            </w:pPr>
            <w:r>
              <w:t>$7,565,000,000</w:t>
            </w:r>
            <w:r>
              <w:tab/>
            </w:r>
          </w:p>
        </w:tc>
      </w:tr>
      <w:tr w:rsidR="00A5193E" w:rsidTr="0012224B">
        <w:trPr>
          <w:trHeight w:val="415"/>
        </w:trPr>
        <w:tc>
          <w:tcPr>
            <w:tcW w:w="1823" w:type="dxa"/>
          </w:tcPr>
          <w:p w:rsidR="00A5193E" w:rsidRDefault="00A5193E" w:rsidP="0012224B">
            <w:r>
              <w:t>2017</w:t>
            </w:r>
          </w:p>
        </w:tc>
        <w:tc>
          <w:tcPr>
            <w:tcW w:w="2992" w:type="dxa"/>
          </w:tcPr>
          <w:p w:rsidR="00A5193E" w:rsidRDefault="00A5193E" w:rsidP="0012224B">
            <w:r>
              <w:t>$9,812,000,000</w:t>
            </w:r>
          </w:p>
        </w:tc>
      </w:tr>
      <w:tr w:rsidR="00A5193E" w:rsidTr="0012224B">
        <w:trPr>
          <w:trHeight w:val="415"/>
        </w:trPr>
        <w:tc>
          <w:tcPr>
            <w:tcW w:w="1823" w:type="dxa"/>
          </w:tcPr>
          <w:p w:rsidR="00A5193E" w:rsidRDefault="00A5193E" w:rsidP="0012224B">
            <w:r>
              <w:t>2022</w:t>
            </w:r>
          </w:p>
        </w:tc>
        <w:tc>
          <w:tcPr>
            <w:tcW w:w="2992" w:type="dxa"/>
          </w:tcPr>
          <w:p w:rsidR="00A5193E" w:rsidRDefault="00A5193E" w:rsidP="0012224B">
            <w:r>
              <w:t>$11,589,000,000</w:t>
            </w:r>
          </w:p>
        </w:tc>
      </w:tr>
    </w:tbl>
    <w:p w:rsidR="00A5193E" w:rsidRPr="005C3F28" w:rsidRDefault="00A5193E" w:rsidP="00A5193E">
      <w:pPr>
        <w:pStyle w:val="ListBullet"/>
      </w:pPr>
      <w:r>
        <w:t>53 per cent increase in local resident GRP since 2012</w:t>
      </w:r>
    </w:p>
    <w:p w:rsidR="00A5193E" w:rsidRPr="005C3F28" w:rsidRDefault="00A5193E" w:rsidP="00A5193E">
      <w:pPr>
        <w:pStyle w:val="ListBullet"/>
      </w:pPr>
      <w:r>
        <w:t>225 per cent increase in local resident GRP since 2002</w:t>
      </w:r>
    </w:p>
    <w:p w:rsidR="00094246" w:rsidRDefault="00094246">
      <w:pPr>
        <w:spacing w:after="0" w:line="240" w:lineRule="auto"/>
        <w:rPr>
          <w:rFonts w:ascii="Arial Bold" w:eastAsia="MS Gothic" w:hAnsi="Arial Bold" w:hint="eastAsia"/>
          <w:bCs/>
          <w:sz w:val="24"/>
          <w:szCs w:val="26"/>
          <w:lang w:val="en-US"/>
        </w:rPr>
      </w:pPr>
      <w:r>
        <w:rPr>
          <w:rFonts w:hint="eastAsia"/>
        </w:rPr>
        <w:br w:type="page"/>
      </w:r>
    </w:p>
    <w:p w:rsidR="00A5193E" w:rsidRDefault="00A5193E" w:rsidP="00094246">
      <w:pPr>
        <w:pStyle w:val="Heading4"/>
        <w:rPr>
          <w:rFonts w:hint="eastAsia"/>
        </w:rPr>
      </w:pPr>
      <w:r>
        <w:lastRenderedPageBreak/>
        <w:t>Floor space in Melbourne: residential and office</w:t>
      </w:r>
      <w:r w:rsidR="002A3841">
        <w:t xml:space="preserve"> </w:t>
      </w:r>
      <w:r>
        <w:t>(2002 to 2022)</w:t>
      </w:r>
    </w:p>
    <w:p w:rsidR="00723A75" w:rsidRPr="00F61A91" w:rsidRDefault="007F2FF2" w:rsidP="00823A07">
      <w:pPr>
        <w:pStyle w:val="Heading3"/>
        <w:rPr>
          <w:rFonts w:hint="eastAsia"/>
        </w:rPr>
      </w:pPr>
      <w:bookmarkStart w:id="17" w:name="_Toc152164449"/>
      <w:r>
        <w:t>Table 8</w:t>
      </w:r>
      <w:r w:rsidR="00823A07">
        <w:t xml:space="preserve"> - </w:t>
      </w:r>
      <w:r w:rsidR="00723A75">
        <w:t>Residential floor space</w:t>
      </w:r>
      <w:bookmarkEnd w:id="17"/>
    </w:p>
    <w:tbl>
      <w:tblPr>
        <w:tblStyle w:val="TableGrid"/>
        <w:tblW w:w="0" w:type="auto"/>
        <w:tblLook w:val="04A0" w:firstRow="1" w:lastRow="0" w:firstColumn="1" w:lastColumn="0" w:noHBand="0" w:noVBand="1"/>
      </w:tblPr>
      <w:tblGrid>
        <w:gridCol w:w="1823"/>
        <w:gridCol w:w="3417"/>
      </w:tblGrid>
      <w:tr w:rsidR="00723A75" w:rsidTr="00D378BC">
        <w:trPr>
          <w:trHeight w:val="415"/>
        </w:trPr>
        <w:tc>
          <w:tcPr>
            <w:tcW w:w="1823" w:type="dxa"/>
          </w:tcPr>
          <w:p w:rsidR="00723A75" w:rsidRPr="005C3F28" w:rsidRDefault="00723A75" w:rsidP="0012224B">
            <w:pPr>
              <w:rPr>
                <w:b/>
              </w:rPr>
            </w:pPr>
            <w:r>
              <w:rPr>
                <w:b/>
              </w:rPr>
              <w:t>Year</w:t>
            </w:r>
          </w:p>
        </w:tc>
        <w:tc>
          <w:tcPr>
            <w:tcW w:w="3417" w:type="dxa"/>
          </w:tcPr>
          <w:p w:rsidR="00723A75" w:rsidRPr="005C3F28" w:rsidRDefault="00723A75" w:rsidP="0012224B">
            <w:pPr>
              <w:rPr>
                <w:b/>
              </w:rPr>
            </w:pPr>
            <w:r>
              <w:rPr>
                <w:b/>
              </w:rPr>
              <w:t>Occupiable residential space</w:t>
            </w:r>
            <w:r w:rsidR="00D378BC">
              <w:rPr>
                <w:b/>
              </w:rPr>
              <w:t xml:space="preserve"> (m</w:t>
            </w:r>
            <w:r w:rsidR="00D378BC">
              <w:rPr>
                <w:b/>
                <w:vertAlign w:val="superscript"/>
              </w:rPr>
              <w:t>2</w:t>
            </w:r>
            <w:r w:rsidR="00DB4981">
              <w:rPr>
                <w:b/>
              </w:rPr>
              <w:t>)</w:t>
            </w:r>
          </w:p>
        </w:tc>
      </w:tr>
      <w:tr w:rsidR="00723A75" w:rsidTr="00D378BC">
        <w:trPr>
          <w:trHeight w:val="433"/>
        </w:trPr>
        <w:tc>
          <w:tcPr>
            <w:tcW w:w="1823" w:type="dxa"/>
          </w:tcPr>
          <w:p w:rsidR="00723A75" w:rsidRDefault="00723A75" w:rsidP="0012224B">
            <w:r>
              <w:t>2002</w:t>
            </w:r>
          </w:p>
        </w:tc>
        <w:tc>
          <w:tcPr>
            <w:tcW w:w="3417" w:type="dxa"/>
          </w:tcPr>
          <w:p w:rsidR="00723A75" w:rsidRDefault="00723A75" w:rsidP="0012224B">
            <w:pPr>
              <w:tabs>
                <w:tab w:val="left" w:pos="991"/>
              </w:tabs>
            </w:pPr>
            <w:r>
              <w:t>3,204,859</w:t>
            </w:r>
            <w:r>
              <w:tab/>
            </w:r>
          </w:p>
        </w:tc>
      </w:tr>
      <w:tr w:rsidR="00723A75" w:rsidTr="00D378BC">
        <w:trPr>
          <w:trHeight w:val="415"/>
        </w:trPr>
        <w:tc>
          <w:tcPr>
            <w:tcW w:w="1823" w:type="dxa"/>
          </w:tcPr>
          <w:p w:rsidR="00723A75" w:rsidRDefault="00723A75" w:rsidP="0012224B">
            <w:r>
              <w:t>2012</w:t>
            </w:r>
          </w:p>
        </w:tc>
        <w:tc>
          <w:tcPr>
            <w:tcW w:w="3417" w:type="dxa"/>
          </w:tcPr>
          <w:p w:rsidR="00723A75" w:rsidRDefault="00723A75" w:rsidP="0012224B">
            <w:r>
              <w:t>5,477,743</w:t>
            </w:r>
          </w:p>
        </w:tc>
      </w:tr>
      <w:tr w:rsidR="00723A75" w:rsidTr="00D378BC">
        <w:trPr>
          <w:trHeight w:val="415"/>
        </w:trPr>
        <w:tc>
          <w:tcPr>
            <w:tcW w:w="1823" w:type="dxa"/>
          </w:tcPr>
          <w:p w:rsidR="00723A75" w:rsidRDefault="00723A75" w:rsidP="0012224B">
            <w:r>
              <w:t>2022</w:t>
            </w:r>
          </w:p>
        </w:tc>
        <w:tc>
          <w:tcPr>
            <w:tcW w:w="3417" w:type="dxa"/>
          </w:tcPr>
          <w:p w:rsidR="00723A75" w:rsidRDefault="00723A75" w:rsidP="0012224B">
            <w:r>
              <w:t>9,560,725</w:t>
            </w:r>
          </w:p>
        </w:tc>
      </w:tr>
    </w:tbl>
    <w:p w:rsidR="00723A75" w:rsidRPr="00F61A91" w:rsidRDefault="007F2FF2" w:rsidP="00823A07">
      <w:pPr>
        <w:pStyle w:val="Heading3"/>
        <w:rPr>
          <w:rFonts w:hint="eastAsia"/>
        </w:rPr>
      </w:pPr>
      <w:bookmarkStart w:id="18" w:name="_Toc152164450"/>
      <w:r>
        <w:t>Table 9</w:t>
      </w:r>
      <w:r w:rsidR="00823A07">
        <w:t xml:space="preserve"> - </w:t>
      </w:r>
      <w:r w:rsidR="00723A75">
        <w:t>Office floor space</w:t>
      </w:r>
      <w:bookmarkEnd w:id="18"/>
    </w:p>
    <w:tbl>
      <w:tblPr>
        <w:tblStyle w:val="TableGrid"/>
        <w:tblW w:w="0" w:type="auto"/>
        <w:tblLook w:val="04A0" w:firstRow="1" w:lastRow="0" w:firstColumn="1" w:lastColumn="0" w:noHBand="0" w:noVBand="1"/>
      </w:tblPr>
      <w:tblGrid>
        <w:gridCol w:w="1823"/>
        <w:gridCol w:w="3417"/>
      </w:tblGrid>
      <w:tr w:rsidR="00723A75" w:rsidTr="00D378BC">
        <w:trPr>
          <w:trHeight w:val="415"/>
        </w:trPr>
        <w:tc>
          <w:tcPr>
            <w:tcW w:w="1823" w:type="dxa"/>
          </w:tcPr>
          <w:p w:rsidR="00723A75" w:rsidRPr="005C3F28" w:rsidRDefault="00723A75" w:rsidP="0012224B">
            <w:pPr>
              <w:rPr>
                <w:b/>
              </w:rPr>
            </w:pPr>
            <w:r>
              <w:rPr>
                <w:b/>
              </w:rPr>
              <w:t>Year</w:t>
            </w:r>
          </w:p>
        </w:tc>
        <w:tc>
          <w:tcPr>
            <w:tcW w:w="3417" w:type="dxa"/>
          </w:tcPr>
          <w:p w:rsidR="00723A75" w:rsidRPr="005C3F28" w:rsidRDefault="00723A75" w:rsidP="0012224B">
            <w:pPr>
              <w:rPr>
                <w:b/>
              </w:rPr>
            </w:pPr>
            <w:r>
              <w:rPr>
                <w:b/>
              </w:rPr>
              <w:t>Occupiable residential space</w:t>
            </w:r>
            <w:r w:rsidR="00DB4981">
              <w:rPr>
                <w:b/>
              </w:rPr>
              <w:t xml:space="preserve"> </w:t>
            </w:r>
            <w:r w:rsidR="00D378BC">
              <w:rPr>
                <w:b/>
              </w:rPr>
              <w:t>(m</w:t>
            </w:r>
            <w:r w:rsidR="00D378BC">
              <w:rPr>
                <w:b/>
                <w:vertAlign w:val="superscript"/>
              </w:rPr>
              <w:t>2</w:t>
            </w:r>
            <w:r w:rsidR="00D378BC">
              <w:rPr>
                <w:b/>
              </w:rPr>
              <w:t>)</w:t>
            </w:r>
          </w:p>
        </w:tc>
      </w:tr>
      <w:tr w:rsidR="00723A75" w:rsidTr="00D378BC">
        <w:trPr>
          <w:trHeight w:val="433"/>
        </w:trPr>
        <w:tc>
          <w:tcPr>
            <w:tcW w:w="1823" w:type="dxa"/>
          </w:tcPr>
          <w:p w:rsidR="00723A75" w:rsidRDefault="00723A75" w:rsidP="0012224B">
            <w:r>
              <w:t>2002</w:t>
            </w:r>
          </w:p>
        </w:tc>
        <w:tc>
          <w:tcPr>
            <w:tcW w:w="3417" w:type="dxa"/>
          </w:tcPr>
          <w:p w:rsidR="00723A75" w:rsidRDefault="00723A75" w:rsidP="0012224B">
            <w:pPr>
              <w:tabs>
                <w:tab w:val="left" w:pos="991"/>
              </w:tabs>
            </w:pPr>
            <w:r>
              <w:t>4,936,831</w:t>
            </w:r>
            <w:r>
              <w:tab/>
            </w:r>
          </w:p>
        </w:tc>
      </w:tr>
      <w:tr w:rsidR="00723A75" w:rsidTr="00D378BC">
        <w:trPr>
          <w:trHeight w:val="415"/>
        </w:trPr>
        <w:tc>
          <w:tcPr>
            <w:tcW w:w="1823" w:type="dxa"/>
          </w:tcPr>
          <w:p w:rsidR="00723A75" w:rsidRDefault="00723A75" w:rsidP="0012224B">
            <w:r>
              <w:t>2012</w:t>
            </w:r>
          </w:p>
        </w:tc>
        <w:tc>
          <w:tcPr>
            <w:tcW w:w="3417" w:type="dxa"/>
          </w:tcPr>
          <w:p w:rsidR="00723A75" w:rsidRDefault="00723A75" w:rsidP="0012224B">
            <w:r>
              <w:t>5,988,549</w:t>
            </w:r>
          </w:p>
        </w:tc>
      </w:tr>
      <w:tr w:rsidR="00723A75" w:rsidTr="00D378BC">
        <w:trPr>
          <w:trHeight w:val="415"/>
        </w:trPr>
        <w:tc>
          <w:tcPr>
            <w:tcW w:w="1823" w:type="dxa"/>
          </w:tcPr>
          <w:p w:rsidR="00723A75" w:rsidRDefault="00723A75" w:rsidP="0012224B">
            <w:r>
              <w:t>2022</w:t>
            </w:r>
          </w:p>
        </w:tc>
        <w:tc>
          <w:tcPr>
            <w:tcW w:w="3417" w:type="dxa"/>
          </w:tcPr>
          <w:p w:rsidR="00723A75" w:rsidRDefault="00723A75" w:rsidP="0012224B">
            <w:r>
              <w:t>6,925,004</w:t>
            </w:r>
          </w:p>
        </w:tc>
      </w:tr>
    </w:tbl>
    <w:p w:rsidR="00723A75" w:rsidRDefault="00723A75" w:rsidP="00723A75">
      <w:pPr>
        <w:pStyle w:val="ListBullet"/>
      </w:pPr>
      <w:r>
        <w:t>2015 was the first year that residential floors space exceeded office floor space</w:t>
      </w:r>
    </w:p>
    <w:p w:rsidR="00723A75" w:rsidRDefault="00723A75" w:rsidP="00723A75">
      <w:pPr>
        <w:pStyle w:val="ListBullet"/>
      </w:pPr>
      <w:r>
        <w:t>75 per cent growth in residential floor space since 2012</w:t>
      </w:r>
    </w:p>
    <w:p w:rsidR="000C1D7A" w:rsidRDefault="00723A75" w:rsidP="00F61A91">
      <w:pPr>
        <w:pStyle w:val="ListBullet"/>
      </w:pPr>
      <w:r>
        <w:t>16 per cent increase in office floor space since 2012</w:t>
      </w:r>
    </w:p>
    <w:p w:rsidR="00094246" w:rsidRDefault="00094246">
      <w:pPr>
        <w:spacing w:after="0" w:line="240" w:lineRule="auto"/>
        <w:rPr>
          <w:lang w:val="en-US"/>
        </w:rPr>
      </w:pPr>
      <w:r>
        <w:br w:type="page"/>
      </w:r>
    </w:p>
    <w:p w:rsidR="000437C5" w:rsidRPr="00020B35" w:rsidRDefault="00F61A91" w:rsidP="00F61A91">
      <w:pPr>
        <w:pStyle w:val="Heading2"/>
        <w:rPr>
          <w:rFonts w:hint="eastAsia"/>
        </w:rPr>
      </w:pPr>
      <w:bookmarkStart w:id="19" w:name="_Toc152164451"/>
      <w:r>
        <w:lastRenderedPageBreak/>
        <w:t>U</w:t>
      </w:r>
      <w:r w:rsidR="00423541">
        <w:t>rban tails</w:t>
      </w:r>
      <w:r>
        <w:t>: H</w:t>
      </w:r>
      <w:r w:rsidR="00423541">
        <w:t>igh rise hounds</w:t>
      </w:r>
      <w:bookmarkEnd w:id="19"/>
    </w:p>
    <w:p w:rsidR="00723A75" w:rsidRDefault="00723A75" w:rsidP="00723A75">
      <w:pPr>
        <w:pStyle w:val="Heading5"/>
        <w:rPr>
          <w:iCs w:val="0"/>
          <w:szCs w:val="24"/>
          <w:lang w:val="en-AU"/>
        </w:rPr>
      </w:pPr>
      <w:r w:rsidRPr="00723A75">
        <w:rPr>
          <w:iCs w:val="0"/>
          <w:szCs w:val="24"/>
          <w:lang w:val="en-AU"/>
        </w:rPr>
        <w:t>As more people make their home in Melbourne so do more four-legged companions. In the last five years, dog</w:t>
      </w:r>
      <w:r>
        <w:rPr>
          <w:iCs w:val="0"/>
          <w:szCs w:val="24"/>
          <w:lang w:val="en-AU"/>
        </w:rPr>
        <w:t xml:space="preserve"> </w:t>
      </w:r>
      <w:r w:rsidRPr="00723A75">
        <w:rPr>
          <w:iCs w:val="0"/>
          <w:szCs w:val="24"/>
          <w:lang w:val="en-AU"/>
        </w:rPr>
        <w:t>registrations have inc</w:t>
      </w:r>
      <w:r w:rsidR="00825D3D">
        <w:rPr>
          <w:iCs w:val="0"/>
          <w:szCs w:val="24"/>
          <w:lang w:val="en-AU"/>
        </w:rPr>
        <w:t>reased by 81 per cent. Kensington</w:t>
      </w:r>
      <w:r w:rsidRPr="00723A75">
        <w:rPr>
          <w:iCs w:val="0"/>
          <w:szCs w:val="24"/>
          <w:lang w:val="en-AU"/>
        </w:rPr>
        <w:t xml:space="preserve"> has the highest number of dogs out of the city neighbourhoods</w:t>
      </w:r>
      <w:r>
        <w:rPr>
          <w:iCs w:val="0"/>
          <w:szCs w:val="24"/>
          <w:lang w:val="en-AU"/>
        </w:rPr>
        <w:t xml:space="preserve"> </w:t>
      </w:r>
      <w:r w:rsidRPr="00723A75">
        <w:rPr>
          <w:iCs w:val="0"/>
          <w:szCs w:val="24"/>
          <w:lang w:val="en-AU"/>
        </w:rPr>
        <w:t>but more populated areas are not far behind; 58 per cent of dogs are high-rise hounds living in apartments. The</w:t>
      </w:r>
      <w:r>
        <w:rPr>
          <w:iCs w:val="0"/>
          <w:szCs w:val="24"/>
          <w:lang w:val="en-AU"/>
        </w:rPr>
        <w:t xml:space="preserve"> </w:t>
      </w:r>
      <w:r w:rsidRPr="00723A75">
        <w:rPr>
          <w:iCs w:val="0"/>
          <w:szCs w:val="24"/>
          <w:lang w:val="en-AU"/>
        </w:rPr>
        <w:t>city's growing populace, and their pets, will increasingly demand a broad spectrum of services to support their</w:t>
      </w:r>
      <w:r>
        <w:rPr>
          <w:iCs w:val="0"/>
          <w:szCs w:val="24"/>
          <w:lang w:val="en-AU"/>
        </w:rPr>
        <w:t xml:space="preserve"> </w:t>
      </w:r>
      <w:r w:rsidRPr="00723A75">
        <w:rPr>
          <w:iCs w:val="0"/>
          <w:szCs w:val="24"/>
          <w:lang w:val="en-AU"/>
        </w:rPr>
        <w:t>lifestyles.</w:t>
      </w:r>
    </w:p>
    <w:p w:rsidR="00723A75" w:rsidRPr="00723A75" w:rsidRDefault="007F2FF2" w:rsidP="00823A07">
      <w:pPr>
        <w:pStyle w:val="Heading3"/>
        <w:rPr>
          <w:rFonts w:hint="eastAsia"/>
        </w:rPr>
      </w:pPr>
      <w:bookmarkStart w:id="20" w:name="_Toc152164452"/>
      <w:r>
        <w:t>Table 10</w:t>
      </w:r>
      <w:r w:rsidR="00823A07">
        <w:t xml:space="preserve"> - </w:t>
      </w:r>
      <w:r w:rsidR="00723A75">
        <w:t xml:space="preserve">Dog registrations by </w:t>
      </w:r>
      <w:r w:rsidR="00823A07">
        <w:t>neighborhood</w:t>
      </w:r>
      <w:bookmarkEnd w:id="20"/>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7"/>
        <w:gridCol w:w="1683"/>
      </w:tblGrid>
      <w:tr w:rsidR="00723A75" w:rsidRPr="00723A75" w:rsidTr="00723A75">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b/>
              </w:rPr>
            </w:pPr>
            <w:r w:rsidRPr="00723A75">
              <w:rPr>
                <w:rFonts w:eastAsia="Cambria"/>
                <w:b/>
              </w:rPr>
              <w:t>Neighbourhood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823A07" w:rsidP="00094246">
            <w:pPr>
              <w:spacing w:line="240" w:lineRule="auto"/>
              <w:rPr>
                <w:rFonts w:eastAsia="Cambria"/>
                <w:b/>
              </w:rPr>
            </w:pPr>
            <w:r>
              <w:rPr>
                <w:rFonts w:eastAsia="Cambria"/>
                <w:b/>
              </w:rPr>
              <w:t>Dog population</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Kensington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1093</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CBD Hoddle Grid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824</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Southbank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722</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North Melbourne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715</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Docklands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565</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Carlton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515</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South Yarra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479</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West Melbourne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382</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East Melbourne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378</w:t>
            </w:r>
          </w:p>
        </w:tc>
      </w:tr>
      <w:tr w:rsidR="00723A75" w:rsidRPr="00723A75" w:rsidTr="00723A75">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Parkville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723A75" w:rsidRPr="00723A75" w:rsidRDefault="00723A75" w:rsidP="00094246">
            <w:pPr>
              <w:spacing w:line="240" w:lineRule="auto"/>
              <w:rPr>
                <w:rFonts w:eastAsia="Cambria"/>
              </w:rPr>
            </w:pPr>
            <w:r w:rsidRPr="00723A75">
              <w:rPr>
                <w:rFonts w:eastAsia="Cambria"/>
              </w:rPr>
              <w:t>282</w:t>
            </w:r>
          </w:p>
        </w:tc>
      </w:tr>
    </w:tbl>
    <w:p w:rsidR="00F7371C" w:rsidRDefault="007F2FF2" w:rsidP="00823A07">
      <w:pPr>
        <w:pStyle w:val="Heading3"/>
        <w:rPr>
          <w:rFonts w:hint="eastAsia"/>
        </w:rPr>
      </w:pPr>
      <w:bookmarkStart w:id="21" w:name="_Toc152164453"/>
      <w:r>
        <w:t>Table 11</w:t>
      </w:r>
      <w:r w:rsidR="00823A07">
        <w:t xml:space="preserve"> - </w:t>
      </w:r>
      <w:r w:rsidR="00F7371C">
        <w:t>Melbourne’s most popular breeds</w:t>
      </w:r>
      <w:bookmarkEnd w:id="21"/>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17"/>
        <w:gridCol w:w="1683"/>
      </w:tblGrid>
      <w:tr w:rsidR="00F7371C" w:rsidRPr="00F7371C" w:rsidTr="00F7371C">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7F2FF2" w:rsidP="00094246">
            <w:pPr>
              <w:spacing w:line="240" w:lineRule="auto"/>
              <w:rPr>
                <w:rFonts w:eastAsia="Cambria"/>
                <w:b/>
              </w:rPr>
            </w:pPr>
            <w:r>
              <w:rPr>
                <w:rFonts w:eastAsia="Cambria"/>
                <w:b/>
              </w:rPr>
              <w:t>B</w:t>
            </w:r>
            <w:r w:rsidR="00F7371C" w:rsidRPr="00F7371C">
              <w:rPr>
                <w:rFonts w:eastAsia="Cambria"/>
                <w:b/>
              </w:rPr>
              <w:t>reed</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7F2FF2" w:rsidP="00094246">
            <w:pPr>
              <w:spacing w:line="240" w:lineRule="auto"/>
              <w:rPr>
                <w:rFonts w:eastAsia="Cambria"/>
                <w:b/>
              </w:rPr>
            </w:pPr>
            <w:r>
              <w:rPr>
                <w:rFonts w:eastAsia="Cambria"/>
                <w:b/>
              </w:rPr>
              <w:t>Dog population</w:t>
            </w:r>
          </w:p>
        </w:tc>
      </w:tr>
      <w:tr w:rsidR="00F7371C" w:rsidRPr="00F7371C" w:rsidTr="00F7371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Cavoodle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460</w:t>
            </w:r>
          </w:p>
        </w:tc>
      </w:tr>
      <w:tr w:rsidR="00F7371C" w:rsidRPr="00F7371C" w:rsidTr="00F7371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Greyhound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205</w:t>
            </w:r>
          </w:p>
        </w:tc>
      </w:tr>
      <w:tr w:rsidR="00F7371C" w:rsidRPr="00F7371C" w:rsidTr="00F7371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Labrador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202</w:t>
            </w:r>
          </w:p>
        </w:tc>
      </w:tr>
      <w:tr w:rsidR="00F7371C" w:rsidRPr="00F7371C" w:rsidTr="00F7371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Poodle Toy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167</w:t>
            </w:r>
          </w:p>
        </w:tc>
      </w:tr>
      <w:tr w:rsidR="00F7371C" w:rsidRPr="00F7371C" w:rsidTr="00F7371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French Bulldog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151</w:t>
            </w:r>
          </w:p>
        </w:tc>
      </w:tr>
      <w:tr w:rsidR="00F7371C" w:rsidRPr="00F7371C" w:rsidTr="00F7371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Spoodle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71C" w:rsidRPr="00F7371C" w:rsidRDefault="00F7371C" w:rsidP="00094246">
            <w:pPr>
              <w:spacing w:line="240" w:lineRule="auto"/>
              <w:rPr>
                <w:rFonts w:eastAsia="Cambria"/>
              </w:rPr>
            </w:pPr>
            <w:r w:rsidRPr="00F7371C">
              <w:rPr>
                <w:rFonts w:eastAsia="Cambria"/>
              </w:rPr>
              <w:t>150</w:t>
            </w:r>
          </w:p>
        </w:tc>
      </w:tr>
    </w:tbl>
    <w:p w:rsidR="009A4F83" w:rsidRDefault="009A4F83" w:rsidP="009A4F83">
      <w:pPr>
        <w:pStyle w:val="ListBullet"/>
      </w:pPr>
      <w:r>
        <w:t>58 per cent of dogs living in apartments in 2023</w:t>
      </w:r>
    </w:p>
    <w:p w:rsidR="009A4F83" w:rsidRDefault="009A4F83" w:rsidP="009A4F83">
      <w:pPr>
        <w:pStyle w:val="ListBullet"/>
      </w:pPr>
      <w:r>
        <w:t>5</w:t>
      </w:r>
      <w:r w:rsidR="00A20ABD">
        <w:t>,</w:t>
      </w:r>
      <w:r>
        <w:t xml:space="preserve">964 dogs </w:t>
      </w:r>
      <w:r w:rsidR="00823A07">
        <w:t>October</w:t>
      </w:r>
      <w:r>
        <w:t xml:space="preserve"> 2023</w:t>
      </w:r>
    </w:p>
    <w:p w:rsidR="009A4F83" w:rsidRDefault="009A4F83" w:rsidP="009A4F83">
      <w:pPr>
        <w:pStyle w:val="ListBullet"/>
      </w:pPr>
      <w:r>
        <w:t>81 per cent five year increase</w:t>
      </w:r>
    </w:p>
    <w:p w:rsidR="009A4F83" w:rsidRDefault="00B334DD" w:rsidP="00B334DD">
      <w:pPr>
        <w:pStyle w:val="Heading2"/>
        <w:rPr>
          <w:rFonts w:hint="eastAsia"/>
        </w:rPr>
      </w:pPr>
      <w:bookmarkStart w:id="22" w:name="_Toc152164454"/>
      <w:r>
        <w:t>Appendix 1</w:t>
      </w:r>
      <w:r w:rsidR="00094246">
        <w:t>:</w:t>
      </w:r>
      <w:r>
        <w:t xml:space="preserve"> Data sources</w:t>
      </w:r>
      <w:bookmarkEnd w:id="22"/>
    </w:p>
    <w:p w:rsidR="00094246" w:rsidRDefault="00094246" w:rsidP="00B334DD">
      <w:pPr>
        <w:pStyle w:val="NormalWeb"/>
        <w:shd w:val="clear" w:color="auto" w:fill="FFFFFF"/>
        <w:spacing w:before="0" w:beforeAutospacing="0" w:after="0" w:afterAutospacing="0"/>
        <w:rPr>
          <w:rFonts w:ascii="Arial" w:eastAsia="MS Mincho" w:hAnsi="Arial"/>
          <w:sz w:val="20"/>
          <w:lang w:eastAsia="en-US"/>
        </w:rPr>
      </w:pPr>
      <w:r>
        <w:rPr>
          <w:rFonts w:ascii="Arial" w:eastAsia="MS Mincho" w:hAnsi="Arial"/>
          <w:sz w:val="20"/>
          <w:lang w:eastAsia="en-US"/>
        </w:rPr>
        <w:t xml:space="preserve">GLOBAL GUESTS, GREATER GAINS - </w:t>
      </w:r>
      <w:r w:rsidR="00B334DD" w:rsidRPr="00B334DD">
        <w:rPr>
          <w:rFonts w:ascii="Arial" w:eastAsia="MS Mincho" w:hAnsi="Arial"/>
          <w:sz w:val="20"/>
          <w:lang w:eastAsia="en-US"/>
        </w:rPr>
        <w:t>Overseas arrival and departures - Department of Home Affairs, Spendmapp by Geogr</w:t>
      </w:r>
      <w:r>
        <w:rPr>
          <w:rFonts w:ascii="Arial" w:eastAsia="MS Mincho" w:hAnsi="Arial"/>
          <w:sz w:val="20"/>
          <w:lang w:eastAsia="en-US"/>
        </w:rPr>
        <w:t>afia (inflation adjusted spend)</w:t>
      </w:r>
      <w:r w:rsidR="00B334DD">
        <w:rPr>
          <w:rFonts w:ascii="Arial" w:eastAsia="MS Mincho" w:hAnsi="Arial"/>
          <w:sz w:val="20"/>
          <w:lang w:eastAsia="en-US"/>
        </w:rPr>
        <w:t xml:space="preserve"> </w:t>
      </w:r>
    </w:p>
    <w:p w:rsidR="00094246" w:rsidRDefault="00094246" w:rsidP="00B334DD">
      <w:pPr>
        <w:pStyle w:val="NormalWeb"/>
        <w:shd w:val="clear" w:color="auto" w:fill="FFFFFF"/>
        <w:spacing w:before="0" w:beforeAutospacing="0" w:after="0" w:afterAutospacing="0"/>
        <w:rPr>
          <w:rFonts w:ascii="Arial" w:eastAsia="MS Mincho" w:hAnsi="Arial"/>
          <w:sz w:val="20"/>
          <w:lang w:eastAsia="en-US"/>
        </w:rPr>
      </w:pPr>
    </w:p>
    <w:p w:rsidR="00094246" w:rsidRDefault="00094246" w:rsidP="00B334DD">
      <w:pPr>
        <w:pStyle w:val="NormalWeb"/>
        <w:shd w:val="clear" w:color="auto" w:fill="FFFFFF"/>
        <w:spacing w:before="0" w:beforeAutospacing="0" w:after="0" w:afterAutospacing="0"/>
        <w:rPr>
          <w:rFonts w:ascii="Arial" w:eastAsia="MS Mincho" w:hAnsi="Arial"/>
          <w:sz w:val="20"/>
          <w:lang w:eastAsia="en-US"/>
        </w:rPr>
      </w:pPr>
      <w:r>
        <w:rPr>
          <w:rFonts w:ascii="Arial" w:eastAsia="MS Mincho" w:hAnsi="Arial"/>
          <w:sz w:val="20"/>
          <w:lang w:eastAsia="en-US"/>
        </w:rPr>
        <w:t xml:space="preserve">BRAIN BOOST: KNOWLEDGE JOBS - </w:t>
      </w:r>
      <w:r w:rsidR="00B334DD" w:rsidRPr="00B334DD">
        <w:rPr>
          <w:rFonts w:ascii="Arial" w:eastAsia="MS Mincho" w:hAnsi="Arial"/>
          <w:sz w:val="20"/>
          <w:lang w:eastAsia="en-US"/>
        </w:rPr>
        <w:t>National Institute of Economic and Industry Research (NIEIR) and .id</w:t>
      </w:r>
    </w:p>
    <w:p w:rsidR="00094246" w:rsidRDefault="00094246" w:rsidP="00423541">
      <w:r>
        <w:lastRenderedPageBreak/>
        <w:t xml:space="preserve">LIVING LARGE: RESIDENTIAL ROOM - </w:t>
      </w:r>
      <w:r w:rsidR="00B334DD" w:rsidRPr="00B334DD">
        <w:t>Economy.id, City of Melbourne Population Forecasts 2022, Census o</w:t>
      </w:r>
      <w:r>
        <w:t>f Land Use and Employment 2022</w:t>
      </w:r>
    </w:p>
    <w:p w:rsidR="00B334DD" w:rsidRPr="00B334DD" w:rsidRDefault="00094246" w:rsidP="00423541">
      <w:r>
        <w:t xml:space="preserve">URBAN TAILS: HIGH-RISE HOUDS - </w:t>
      </w:r>
      <w:r w:rsidR="00B334DD" w:rsidRPr="00B334DD">
        <w:t>City of Melbourne dog registrations</w:t>
      </w:r>
    </w:p>
    <w:sectPr w:rsidR="00B334DD" w:rsidRPr="00B334DD"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91" w:rsidRDefault="00F61A91" w:rsidP="00BC719D">
      <w:pPr>
        <w:spacing w:after="0"/>
      </w:pPr>
      <w:r>
        <w:separator/>
      </w:r>
    </w:p>
  </w:endnote>
  <w:endnote w:type="continuationSeparator" w:id="0">
    <w:p w:rsidR="00F61A91" w:rsidRDefault="00F61A9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99" w:rsidRDefault="0055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99" w:rsidRDefault="00557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99" w:rsidRDefault="00557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91" w:rsidRDefault="00F61A91" w:rsidP="00577A39">
      <w:pPr>
        <w:spacing w:after="40" w:line="240" w:lineRule="auto"/>
      </w:pPr>
      <w:r>
        <w:separator/>
      </w:r>
    </w:p>
  </w:footnote>
  <w:footnote w:type="continuationSeparator" w:id="0">
    <w:p w:rsidR="00F61A91" w:rsidRDefault="00F61A91"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99" w:rsidRDefault="00557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99" w:rsidRDefault="00557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799" w:rsidRDefault="0055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8394ED0"/>
    <w:multiLevelType w:val="hybridMultilevel"/>
    <w:tmpl w:val="7A06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3"/>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91"/>
    <w:rsid w:val="00020B35"/>
    <w:rsid w:val="000437C5"/>
    <w:rsid w:val="000474AE"/>
    <w:rsid w:val="00071857"/>
    <w:rsid w:val="00094246"/>
    <w:rsid w:val="000A2BDA"/>
    <w:rsid w:val="000A48D5"/>
    <w:rsid w:val="000B5EAA"/>
    <w:rsid w:val="000C1D7A"/>
    <w:rsid w:val="000F3535"/>
    <w:rsid w:val="00124A99"/>
    <w:rsid w:val="00151C6A"/>
    <w:rsid w:val="00190B0E"/>
    <w:rsid w:val="001B51BF"/>
    <w:rsid w:val="001F46B4"/>
    <w:rsid w:val="001F554D"/>
    <w:rsid w:val="002436A6"/>
    <w:rsid w:val="002438B7"/>
    <w:rsid w:val="0024773F"/>
    <w:rsid w:val="00260A86"/>
    <w:rsid w:val="002A0493"/>
    <w:rsid w:val="002A3841"/>
    <w:rsid w:val="002D630D"/>
    <w:rsid w:val="002E4153"/>
    <w:rsid w:val="002F47B6"/>
    <w:rsid w:val="002F6A88"/>
    <w:rsid w:val="00380F44"/>
    <w:rsid w:val="00392688"/>
    <w:rsid w:val="003D63A8"/>
    <w:rsid w:val="003E3A9F"/>
    <w:rsid w:val="00407429"/>
    <w:rsid w:val="00423541"/>
    <w:rsid w:val="00426584"/>
    <w:rsid w:val="00431D45"/>
    <w:rsid w:val="004564F4"/>
    <w:rsid w:val="00457042"/>
    <w:rsid w:val="004878DB"/>
    <w:rsid w:val="00493E0A"/>
    <w:rsid w:val="00494A2D"/>
    <w:rsid w:val="004A26E3"/>
    <w:rsid w:val="004D00DD"/>
    <w:rsid w:val="004E1ECE"/>
    <w:rsid w:val="004F54F5"/>
    <w:rsid w:val="00535159"/>
    <w:rsid w:val="0053666A"/>
    <w:rsid w:val="00557799"/>
    <w:rsid w:val="005620A0"/>
    <w:rsid w:val="0056634E"/>
    <w:rsid w:val="0057264C"/>
    <w:rsid w:val="00577A39"/>
    <w:rsid w:val="005814F5"/>
    <w:rsid w:val="005C3F28"/>
    <w:rsid w:val="005D30BA"/>
    <w:rsid w:val="005F4391"/>
    <w:rsid w:val="00687D4A"/>
    <w:rsid w:val="006A2F63"/>
    <w:rsid w:val="006A3718"/>
    <w:rsid w:val="006C7F7B"/>
    <w:rsid w:val="00712950"/>
    <w:rsid w:val="00715B3E"/>
    <w:rsid w:val="00723A75"/>
    <w:rsid w:val="0073401D"/>
    <w:rsid w:val="007361D8"/>
    <w:rsid w:val="00737A99"/>
    <w:rsid w:val="00756954"/>
    <w:rsid w:val="00782E37"/>
    <w:rsid w:val="007A0AA6"/>
    <w:rsid w:val="007E291E"/>
    <w:rsid w:val="007F0661"/>
    <w:rsid w:val="007F2FF2"/>
    <w:rsid w:val="00802A52"/>
    <w:rsid w:val="00806F0F"/>
    <w:rsid w:val="00823A07"/>
    <w:rsid w:val="00825D3D"/>
    <w:rsid w:val="00831224"/>
    <w:rsid w:val="00850D66"/>
    <w:rsid w:val="00855F84"/>
    <w:rsid w:val="00881C97"/>
    <w:rsid w:val="008D2DDA"/>
    <w:rsid w:val="008E2476"/>
    <w:rsid w:val="009043FC"/>
    <w:rsid w:val="009050C6"/>
    <w:rsid w:val="0091365A"/>
    <w:rsid w:val="0092528F"/>
    <w:rsid w:val="00955E32"/>
    <w:rsid w:val="0097181E"/>
    <w:rsid w:val="00990B3C"/>
    <w:rsid w:val="009A4F83"/>
    <w:rsid w:val="009D1FBA"/>
    <w:rsid w:val="009F4681"/>
    <w:rsid w:val="00A01D13"/>
    <w:rsid w:val="00A121B3"/>
    <w:rsid w:val="00A20ABD"/>
    <w:rsid w:val="00A5193E"/>
    <w:rsid w:val="00A8651A"/>
    <w:rsid w:val="00AA4303"/>
    <w:rsid w:val="00AB6132"/>
    <w:rsid w:val="00AD2B6E"/>
    <w:rsid w:val="00AF02E0"/>
    <w:rsid w:val="00B152AF"/>
    <w:rsid w:val="00B334DD"/>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378BC"/>
    <w:rsid w:val="00D77363"/>
    <w:rsid w:val="00DB4981"/>
    <w:rsid w:val="00E4646D"/>
    <w:rsid w:val="00E5089C"/>
    <w:rsid w:val="00E86DCD"/>
    <w:rsid w:val="00E94A1C"/>
    <w:rsid w:val="00EA2130"/>
    <w:rsid w:val="00EC4AF9"/>
    <w:rsid w:val="00ED7629"/>
    <w:rsid w:val="00EF11AE"/>
    <w:rsid w:val="00F03DF7"/>
    <w:rsid w:val="00F07FBE"/>
    <w:rsid w:val="00F24B46"/>
    <w:rsid w:val="00F4048D"/>
    <w:rsid w:val="00F41FC6"/>
    <w:rsid w:val="00F61A91"/>
    <w:rsid w:val="00F61B69"/>
    <w:rsid w:val="00F63593"/>
    <w:rsid w:val="00F7371C"/>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qFormat/>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semiHidden/>
    <w:unhideWhenUsed/>
    <w:rsid w:val="00B334DD"/>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334">
      <w:bodyDiv w:val="1"/>
      <w:marLeft w:val="0"/>
      <w:marRight w:val="0"/>
      <w:marTop w:val="0"/>
      <w:marBottom w:val="0"/>
      <w:divBdr>
        <w:top w:val="none" w:sz="0" w:space="0" w:color="auto"/>
        <w:left w:val="none" w:sz="0" w:space="0" w:color="auto"/>
        <w:bottom w:val="none" w:sz="0" w:space="0" w:color="auto"/>
        <w:right w:val="none" w:sz="0" w:space="0" w:color="auto"/>
      </w:divBdr>
    </w:div>
    <w:div w:id="821778563">
      <w:bodyDiv w:val="1"/>
      <w:marLeft w:val="0"/>
      <w:marRight w:val="0"/>
      <w:marTop w:val="0"/>
      <w:marBottom w:val="0"/>
      <w:divBdr>
        <w:top w:val="none" w:sz="0" w:space="0" w:color="auto"/>
        <w:left w:val="none" w:sz="0" w:space="0" w:color="auto"/>
        <w:bottom w:val="none" w:sz="0" w:space="0" w:color="auto"/>
        <w:right w:val="none" w:sz="0" w:space="0" w:color="auto"/>
      </w:divBdr>
    </w:div>
    <w:div w:id="1035153221">
      <w:bodyDiv w:val="1"/>
      <w:marLeft w:val="0"/>
      <w:marRight w:val="0"/>
      <w:marTop w:val="0"/>
      <w:marBottom w:val="0"/>
      <w:divBdr>
        <w:top w:val="none" w:sz="0" w:space="0" w:color="auto"/>
        <w:left w:val="none" w:sz="0" w:space="0" w:color="auto"/>
        <w:bottom w:val="none" w:sz="0" w:space="0" w:color="auto"/>
        <w:right w:val="none" w:sz="0" w:space="0" w:color="auto"/>
      </w:divBdr>
    </w:div>
    <w:div w:id="1704818558">
      <w:bodyDiv w:val="1"/>
      <w:marLeft w:val="0"/>
      <w:marRight w:val="0"/>
      <w:marTop w:val="0"/>
      <w:marBottom w:val="0"/>
      <w:divBdr>
        <w:top w:val="none" w:sz="0" w:space="0" w:color="auto"/>
        <w:left w:val="none" w:sz="0" w:space="0" w:color="auto"/>
        <w:bottom w:val="none" w:sz="0" w:space="0" w:color="auto"/>
        <w:right w:val="none" w:sz="0" w:space="0" w:color="auto"/>
      </w:divBdr>
    </w:div>
    <w:div w:id="1723869162">
      <w:bodyDiv w:val="1"/>
      <w:marLeft w:val="0"/>
      <w:marRight w:val="0"/>
      <w:marTop w:val="0"/>
      <w:marBottom w:val="0"/>
      <w:divBdr>
        <w:top w:val="none" w:sz="0" w:space="0" w:color="auto"/>
        <w:left w:val="none" w:sz="0" w:space="0" w:color="auto"/>
        <w:bottom w:val="none" w:sz="0" w:space="0" w:color="auto"/>
        <w:right w:val="none" w:sz="0" w:space="0" w:color="auto"/>
      </w:divBdr>
    </w:div>
    <w:div w:id="2037195683">
      <w:bodyDiv w:val="1"/>
      <w:marLeft w:val="0"/>
      <w:marRight w:val="0"/>
      <w:marTop w:val="0"/>
      <w:marBottom w:val="0"/>
      <w:divBdr>
        <w:top w:val="none" w:sz="0" w:space="0" w:color="auto"/>
        <w:left w:val="none" w:sz="0" w:space="0" w:color="auto"/>
        <w:bottom w:val="none" w:sz="0" w:space="0" w:color="auto"/>
        <w:right w:val="none" w:sz="0" w:space="0" w:color="auto"/>
      </w:divBdr>
    </w:div>
    <w:div w:id="2106921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23CED-FA37-4D74-AAEA-11216700C882}">
  <ds:schemaRefs>
    <ds:schemaRef ds:uri="http://schemas.openxmlformats.org/officeDocument/2006/bibliography"/>
  </ds:schemaRefs>
</ds:datastoreItem>
</file>

<file path=customXml/itemProps2.xml><?xml version="1.0" encoding="utf-8"?>
<ds:datastoreItem xmlns:ds="http://schemas.openxmlformats.org/officeDocument/2006/customXml" ds:itemID="{875DF5C1-1673-476D-8411-110B82D6C955}"/>
</file>

<file path=customXml/itemProps3.xml><?xml version="1.0" encoding="utf-8"?>
<ds:datastoreItem xmlns:ds="http://schemas.openxmlformats.org/officeDocument/2006/customXml" ds:itemID="{BEDD981A-237F-41DD-B968-32927D44A4A9}"/>
</file>

<file path=customXml/itemProps4.xml><?xml version="1.0" encoding="utf-8"?>
<ds:datastoreItem xmlns:ds="http://schemas.openxmlformats.org/officeDocument/2006/customXml" ds:itemID="{744AF4A3-4396-418A-9A4E-3F865A43D928}"/>
</file>

<file path=docProps/app.xml><?xml version="1.0" encoding="utf-8"?>
<Properties xmlns="http://schemas.openxmlformats.org/officeDocument/2006/extended-properties" xmlns:vt="http://schemas.openxmlformats.org/officeDocument/2006/docPropsVTypes">
  <Template>Normal.dotm</Template>
  <TotalTime>0</TotalTime>
  <Pages>8</Pages>
  <Words>1120</Words>
  <Characters>6387</Characters>
  <Application>Microsoft Office Word</Application>
  <DocSecurity>0</DocSecurity>
  <Lines>53</Lines>
  <Paragraphs>14</Paragraphs>
  <ScaleCrop>false</ScaleCrop>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Economy Snapshot, November 2023</dc:title>
  <dc:subject/>
  <dc:creator>City of Melbourne</dc:creator>
  <cp:keywords/>
  <cp:lastModifiedBy/>
  <cp:revision>1</cp:revision>
  <dcterms:created xsi:type="dcterms:W3CDTF">2023-11-29T04:34:00Z</dcterms:created>
  <dcterms:modified xsi:type="dcterms:W3CDTF">2023-11-29T04:34:00Z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